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B" w:rsidRPr="000B2FBB" w:rsidRDefault="0059229B" w:rsidP="0059229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2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СООБЩЕНИЕ О ПРОВЕДЕНИИ ОТКРЫТОГО КОНКУРСА</w:t>
      </w:r>
    </w:p>
    <w:p w:rsidR="0059229B" w:rsidRPr="000B2FBB" w:rsidRDefault="0059229B" w:rsidP="005922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2F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правозаключения концессионного соглашения по реконструкции стадиона, расположенного по адресу: г. Ртищево, ул. </w:t>
      </w:r>
      <w:proofErr w:type="gramStart"/>
      <w:r w:rsidRPr="000B2F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Железнодорожная</w:t>
      </w:r>
      <w:proofErr w:type="gramEnd"/>
      <w:r w:rsidRPr="000B2F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72 «Б»</w:t>
      </w:r>
    </w:p>
    <w:p w:rsidR="0059229B" w:rsidRDefault="0059229B" w:rsidP="0059229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B" w:rsidRPr="000B1701" w:rsidRDefault="0059229B" w:rsidP="00097A4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2270524"/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Ртищевского муниципального района Саратовской области </w:t>
      </w:r>
      <w:bookmarkEnd w:id="0"/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Администраци</w:t>
      </w:r>
      <w:r w:rsidR="00C808F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170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</w:t>
      </w:r>
      <w:r w:rsidRPr="0048245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Pr="000B2FB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B2FBB" w:rsidRPr="000B2FB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B2FBB">
        <w:rPr>
          <w:rFonts w:ascii="Times New Roman" w:eastAsia="Times New Roman" w:hAnsi="Times New Roman"/>
          <w:sz w:val="24"/>
          <w:szCs w:val="24"/>
          <w:lang w:eastAsia="ru-RU"/>
        </w:rPr>
        <w:t xml:space="preserve">.10.2020 г. № </w:t>
      </w:r>
      <w:r w:rsidR="000B2FBB" w:rsidRPr="000B2FBB">
        <w:rPr>
          <w:rFonts w:ascii="Times New Roman" w:eastAsia="Times New Roman" w:hAnsi="Times New Roman"/>
          <w:sz w:val="24"/>
          <w:szCs w:val="24"/>
          <w:lang w:eastAsia="ru-RU"/>
        </w:rPr>
        <w:t xml:space="preserve">789 </w:t>
      </w:r>
      <w:r w:rsidRPr="000B2FBB">
        <w:rPr>
          <w:rFonts w:ascii="Times New Roman" w:eastAsia="Times New Roman" w:hAnsi="Times New Roman"/>
          <w:sz w:val="24"/>
          <w:szCs w:val="24"/>
          <w:lang w:eastAsia="ru-RU"/>
        </w:rPr>
        <w:t>«О заключени</w:t>
      </w:r>
      <w:r w:rsidR="00C808F1" w:rsidRPr="000B2F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73C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концессионного соглашения по реконструкции стадиона, расположенного по адресу: </w:t>
      </w:r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C088A">
        <w:rPr>
          <w:rFonts w:ascii="Times New Roman" w:eastAsia="Times New Roman" w:hAnsi="Times New Roman"/>
          <w:sz w:val="24"/>
          <w:szCs w:val="24"/>
          <w:lang w:eastAsia="ru-RU"/>
        </w:rPr>
        <w:t>тищево, ул. Железнодорожная 72 «Б» в</w:t>
      </w:r>
      <w:r w:rsidRPr="00482454">
        <w:rPr>
          <w:rFonts w:ascii="Times New Roman" w:eastAsia="Times New Roman" w:hAnsi="Times New Roman"/>
          <w:sz w:val="24"/>
          <w:szCs w:val="24"/>
          <w:lang w:eastAsia="ru-RU"/>
        </w:rPr>
        <w:t>соответствиис Федеральным законом от 21.07.2005 № 115-ФЗ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482454">
        <w:rPr>
          <w:rFonts w:ascii="Times New Roman" w:eastAsia="Times New Roman" w:hAnsi="Times New Roman"/>
          <w:sz w:val="24"/>
          <w:szCs w:val="24"/>
          <w:lang w:eastAsia="ru-RU"/>
        </w:rPr>
        <w:t>концессионных</w:t>
      </w:r>
      <w:r w:rsidR="000B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454">
        <w:rPr>
          <w:rFonts w:ascii="Times New Roman" w:eastAsia="Times New Roman" w:hAnsi="Times New Roman"/>
          <w:sz w:val="24"/>
          <w:szCs w:val="24"/>
          <w:lang w:eastAsia="ru-RU"/>
        </w:rPr>
        <w:t>соглашениях»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</w:t>
      </w:r>
      <w:r w:rsidR="000B2FBB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9229B" w:rsidRDefault="0059229B" w:rsidP="00097A4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701">
        <w:rPr>
          <w:rFonts w:ascii="Times New Roman" w:eastAsia="Times New Roman" w:hAnsi="Times New Roman"/>
          <w:b/>
          <w:sz w:val="24"/>
          <w:szCs w:val="24"/>
          <w:lang w:eastAsia="ru-RU"/>
        </w:rPr>
        <w:t>Концедент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9229B" w:rsidRDefault="00513981" w:rsidP="00097A4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Ртищевский муниципальный район Саратовской области</w:t>
      </w:r>
      <w:r w:rsidR="0059229B" w:rsidRPr="0059229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Администрации Ртищевского муниципального района Саратовской области, 412030 Саратовская область, г.Ртищево, ул.Красная, д. 6,тел. (84540) 4-20-10, о</w:t>
      </w:r>
      <w:r w:rsidR="0059229B">
        <w:rPr>
          <w:rFonts w:ascii="Times New Roman" w:eastAsia="Times New Roman" w:hAnsi="Times New Roman"/>
          <w:sz w:val="24"/>
          <w:szCs w:val="24"/>
          <w:lang w:eastAsia="ru-RU"/>
        </w:rPr>
        <w:t>фициальный сайт К</w:t>
      </w:r>
      <w:r w:rsidR="0059229B" w:rsidRPr="000B1701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r w:rsidR="0059229B" w:rsidRPr="0059229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9229B" w:rsidRPr="005922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229B" w:rsidRPr="0059229B">
        <w:rPr>
          <w:rFonts w:ascii="Times New Roman" w:hAnsi="Times New Roman"/>
          <w:sz w:val="24"/>
          <w:szCs w:val="24"/>
        </w:rPr>
        <w:t>rtishevo.sarmo.ru</w:t>
      </w:r>
      <w:proofErr w:type="spellEnd"/>
      <w:r w:rsidR="0059229B">
        <w:rPr>
          <w:rFonts w:ascii="Times New Roman" w:hAnsi="Times New Roman"/>
          <w:sz w:val="24"/>
          <w:szCs w:val="24"/>
        </w:rPr>
        <w:t>.</w:t>
      </w:r>
    </w:p>
    <w:p w:rsidR="0059229B" w:rsidRPr="008B0F72" w:rsidRDefault="0059229B" w:rsidP="00097A4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7E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описание Объекта концессионного соглашения: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Стадион «Локомотив» в г.Ртищево расположен на ул.Железнодорожная, 72 «Б» и введен в эксплуатацию в 1952 году. 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 xml:space="preserve">ункциональное назначение – стадион. 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 xml:space="preserve">ид объекта – непроизводственное назначение. 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лощадь земельного участка в границах землеотвода 39502,0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Площадь покрытия 13774,5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Футбольное поле 6720,0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Зона безопасности, беговые дорожки и площадки 6379,5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Проезды с твердым покрытием 675,0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Площадь озеленения 240,5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Протяженность ограждения 757,0 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Протяженность водоотводного лотка 392,0 м.</w:t>
      </w:r>
    </w:p>
    <w:p w:rsidR="0059229B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Площадь участка в границах объемов работ – 14015,0 кв.м.</w:t>
      </w:r>
    </w:p>
    <w:p w:rsidR="0059229B" w:rsidRPr="005C7878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реконструкции объекта концессионного соглашения 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 xml:space="preserve">44 762 049 рублей </w:t>
      </w:r>
    </w:p>
    <w:p w:rsidR="0059229B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В ценах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строитель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тву на 1 квартал 2019 года с учетом НДС 20%в соотве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ствии с 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C7878">
        <w:rPr>
          <w:rFonts w:ascii="Times New Roman" w:eastAsia="Times New Roman" w:hAnsi="Times New Roman"/>
          <w:sz w:val="24"/>
          <w:szCs w:val="24"/>
          <w:lang w:eastAsia="ru-RU"/>
        </w:rPr>
        <w:t>но-сметной документацией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Реконструкция объекта в соответствии с разработанной Концедентом проектной документаци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обязанностей Концессионера обеспечить выполнение следующих мероприятий: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-игровое футбольное поле размерами 105x64 м с устройством современного искусственного всесезонного покрытия (искусственная трава) с футбольными воротами и сетчатым ограждением за воротами, с устройством дренирующего основания;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-круговых беговых дорожек – 4 шт.;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-прямых беговых дорожек – 6 шт.;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-двух площадок для прыжков в длину;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-сектора для прыжков в высоту;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-сектора для толкания ядра;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-зоны запасных игроков со скамейками для запасных игроков на 24 человека;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-ёмкости для сбора поверхностных стоков, V-25000л.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-ограждение территории;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-реконструкция входной арки;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sz w:val="24"/>
          <w:szCs w:val="24"/>
          <w:lang w:eastAsia="ru-RU"/>
        </w:rPr>
        <w:t>-устройство въезда и парковки для инвалидов и МГН.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Водоотвод с футбольного поля производится через систему водоотводных лотков, покрытых решетками, со сбросом поверхностных вод в закрытые водоприемные колодцы с пескоуловителями.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Территория стадиона благоустраивается и озеленяется, а именно:</w:t>
      </w:r>
    </w:p>
    <w:p w:rsidR="0059229B" w:rsidRPr="00462890" w:rsidRDefault="0059229B" w:rsidP="00A0664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новых участков проездов и пешеходных дорожек; </w:t>
      </w:r>
    </w:p>
    <w:p w:rsidR="0059229B" w:rsidRPr="00462890" w:rsidRDefault="0059229B" w:rsidP="00A0664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с покрытием из асфальтобетона;</w:t>
      </w:r>
    </w:p>
    <w:p w:rsidR="0059229B" w:rsidRPr="00462890" w:rsidRDefault="0059229B" w:rsidP="00A0664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гостевой парковки для автотранспорта посетителей; </w:t>
      </w:r>
    </w:p>
    <w:p w:rsidR="0059229B" w:rsidRPr="00462890" w:rsidRDefault="0059229B" w:rsidP="00A0664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на 17 машиномест;</w:t>
      </w:r>
    </w:p>
    <w:p w:rsidR="0059229B" w:rsidRPr="00462890" w:rsidRDefault="0059229B" w:rsidP="00A0664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скамеек.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На свободных участках незанятых проездами и специальными покрытиями устраивается газон обыкновенный.</w:t>
      </w:r>
    </w:p>
    <w:p w:rsidR="0059229B" w:rsidRPr="00462890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Вокруг стадиона устанавливается многосекционное сборное металлическое ограждение высотой три метра.</w:t>
      </w:r>
    </w:p>
    <w:p w:rsidR="0059229B" w:rsidRPr="00C842CE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работы проводятся в соответствии с 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технико-экономически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показател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, состав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объекта соглашения 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приведены в приложении № 1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42CE" w:rsidRP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</w:t>
      </w:r>
      <w:r w:rsidR="00513981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документацией</w:t>
      </w:r>
      <w:r w:rsidR="00C842CE">
        <w:rPr>
          <w:rFonts w:ascii="Times New Roman" w:eastAsia="Times New Roman" w:hAnsi="Times New Roman"/>
          <w:bCs/>
          <w:sz w:val="24"/>
          <w:szCs w:val="24"/>
          <w:lang w:eastAsia="ru-RU"/>
        </w:rPr>
        <w:t>, разработанной Концедентом</w:t>
      </w:r>
      <w:r w:rsidRPr="0046289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9229B" w:rsidRPr="008B0F72" w:rsidRDefault="0059229B" w:rsidP="00097A4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К</w:t>
      </w:r>
      <w:r w:rsidRPr="008B0F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онцессионного соглашения: </w:t>
      </w:r>
    </w:p>
    <w:p w:rsidR="0059229B" w:rsidRDefault="0059229B" w:rsidP="00097A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F72">
        <w:rPr>
          <w:rFonts w:ascii="Times New Roman" w:hAnsi="Times New Roman"/>
          <w:sz w:val="24"/>
          <w:szCs w:val="24"/>
        </w:rPr>
        <w:t xml:space="preserve">Срок действия Концессионного соглашения составляет </w:t>
      </w:r>
      <w:r>
        <w:rPr>
          <w:rFonts w:ascii="Times New Roman" w:hAnsi="Times New Roman"/>
          <w:sz w:val="24"/>
          <w:szCs w:val="24"/>
        </w:rPr>
        <w:t>30</w:t>
      </w:r>
      <w:r w:rsidRPr="004F6F72">
        <w:rPr>
          <w:rFonts w:ascii="Times New Roman" w:hAnsi="Times New Roman"/>
          <w:sz w:val="24"/>
          <w:szCs w:val="24"/>
        </w:rPr>
        <w:t xml:space="preserve"> лет с даты заключения Концессионного соглашения.</w:t>
      </w:r>
    </w:p>
    <w:p w:rsidR="0059229B" w:rsidRDefault="0059229B" w:rsidP="00097A4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</w:t>
      </w:r>
      <w:r w:rsidRPr="008B0F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частникам конкурса: 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4.1 </w:t>
      </w:r>
      <w:r w:rsidRPr="00651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должен соответствовать следующим Общим требованиям предварительного отбора: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соответствие Заявителя требованиям, предъявляемым к концессионеру на основании пункта 2 части 1 статьи 5 Закона о концессионных соглашениях;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62890">
        <w:rPr>
          <w:rFonts w:ascii="Times New Roman" w:eastAsia="Times New Roman" w:hAnsi="Times New Roman"/>
          <w:sz w:val="24"/>
          <w:szCs w:val="24"/>
        </w:rPr>
        <w:t>отсутствие решения о ликвидации Заявителя – юридического лица или о прекращении Заявителем - физическим лицом деятельности в качестве индивидуального предпринимателя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62890">
        <w:rPr>
          <w:rFonts w:ascii="Times New Roman" w:eastAsia="Times New Roman" w:hAnsi="Times New Roman"/>
          <w:sz w:val="24"/>
          <w:szCs w:val="24"/>
        </w:rPr>
        <w:t>отсутствие решения о признании Заявителя – юридического лица, индивидуального предпринимателя банкротом и об открытии конкурсного производства в отношении него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62890">
        <w:rPr>
          <w:rFonts w:ascii="Times New Roman" w:hAnsi="Times New Roman"/>
          <w:sz w:val="24"/>
          <w:szCs w:val="24"/>
        </w:rPr>
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Действующим законодательством о налогах и сборах, которые реструктурированы в соответствии с Действующим законодательством,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период;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2890">
        <w:rPr>
          <w:rFonts w:ascii="Times New Roman" w:eastAsia="Times New Roman" w:hAnsi="Times New Roman"/>
          <w:sz w:val="24"/>
          <w:szCs w:val="24"/>
        </w:rPr>
        <w:t>отсутствие решения о приостановлени</w:t>
      </w:r>
      <w:r w:rsidR="00747211">
        <w:rPr>
          <w:rFonts w:ascii="Times New Roman" w:eastAsia="Times New Roman" w:hAnsi="Times New Roman"/>
          <w:sz w:val="24"/>
          <w:szCs w:val="24"/>
        </w:rPr>
        <w:t>и</w:t>
      </w:r>
      <w:r w:rsidRPr="00462890">
        <w:rPr>
          <w:rFonts w:ascii="Times New Roman" w:eastAsia="Times New Roman" w:hAnsi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конкурсе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29B" w:rsidRDefault="0059229B" w:rsidP="00097A41">
      <w:pPr>
        <w:widowControl w:val="0"/>
        <w:tabs>
          <w:tab w:val="left" w:pos="993"/>
        </w:tabs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62890">
        <w:rPr>
          <w:rFonts w:ascii="Times New Roman" w:eastAsia="Times New Roman" w:hAnsi="Times New Roman"/>
          <w:sz w:val="24"/>
          <w:szCs w:val="24"/>
        </w:rPr>
        <w:t>наличие у Заявителя собственных средств либо возможности привлечения внешнего финансирования для исполнения обязательств по Концессионному соглашению в размере 44762 049 (сорок четыре миллиона семьсот ше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62890">
        <w:rPr>
          <w:rFonts w:ascii="Times New Roman" w:eastAsia="Times New Roman" w:hAnsi="Times New Roman"/>
          <w:sz w:val="24"/>
          <w:szCs w:val="24"/>
        </w:rPr>
        <w:t>тьдесят две тысячи сорок девять рублей) Конкурсной документации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229B" w:rsidRDefault="0059229B" w:rsidP="00097A41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Конкурсной документацией предусматривается перечень документов, подтверждающих указанные требования</w:t>
      </w:r>
      <w:r w:rsidR="00513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B" w:rsidRPr="00D80ADE" w:rsidRDefault="0059229B" w:rsidP="00097A41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0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Pr="002A0AE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</w:t>
      </w:r>
      <w:r w:rsidRPr="00D80A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 и параметры критериев Конкурса на право заключения </w:t>
      </w:r>
      <w:r w:rsidR="00747211">
        <w:rPr>
          <w:rFonts w:ascii="Times New Roman" w:eastAsia="Times New Roman" w:hAnsi="Times New Roman"/>
          <w:b/>
          <w:sz w:val="24"/>
          <w:szCs w:val="24"/>
          <w:lang w:eastAsia="ru-RU"/>
        </w:rPr>
        <w:t>концессионного соглашения.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3134"/>
        <w:gridCol w:w="1626"/>
        <w:gridCol w:w="1766"/>
        <w:gridCol w:w="1842"/>
      </w:tblGrid>
      <w:tr w:rsidR="0059229B" w:rsidRPr="00D80ADE" w:rsidTr="004F3BF9">
        <w:trPr>
          <w:trHeight w:val="15"/>
        </w:trPr>
        <w:tc>
          <w:tcPr>
            <w:tcW w:w="704" w:type="dxa"/>
            <w:hideMark/>
          </w:tcPr>
          <w:p w:rsidR="00EC2EEF" w:rsidRPr="00D80ADE" w:rsidRDefault="00EC2EEF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hideMark/>
          </w:tcPr>
          <w:p w:rsidR="0059229B" w:rsidRPr="00D80ADE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hideMark/>
          </w:tcPr>
          <w:p w:rsidR="0059229B" w:rsidRPr="00D80ADE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hideMark/>
          </w:tcPr>
          <w:p w:rsidR="0059229B" w:rsidRPr="00D80ADE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9229B" w:rsidRPr="00D80ADE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29B" w:rsidRPr="00D80ADE" w:rsidTr="004F3BF9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51761978"/>
            <w:r w:rsidRPr="00D80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Требование к изменению начального значения критерия конкурса</w:t>
            </w:r>
            <w:bookmarkEnd w:id="1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59229B" w:rsidRPr="00D80ADE" w:rsidTr="004F3BF9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52202633"/>
            <w:bookmarkStart w:id="3" w:name="_Hlk51761926"/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Предоставлять объект на безвозмездной основе для свободного посещения жителям города для самостоятельных занятий оздоровительным бегом, атлетической гимнастикой, бадминтоном, волейболом, хоккеем на ежедневной основе </w:t>
            </w: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ind w:left="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Предоставлять на безвозмездной основе не менее 2 учебных часов ежедневно для проведения учебных занятий воспитанников муниципального автономного учреждения «Спортивная школа г. Ртищево» по футболу, баскетболу, самбо, бокс на объекте концессионного соглашения.</w:t>
            </w:r>
          </w:p>
          <w:p w:rsidR="0059229B" w:rsidRPr="00126154" w:rsidRDefault="0059229B" w:rsidP="00266875">
            <w:pPr>
              <w:spacing w:after="0" w:line="240" w:lineRule="auto"/>
              <w:ind w:left="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Предоставлять безвозмездной основе не менее 4 учебных часов </w:t>
            </w: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понедельника по пятницу для проведения учебных занятий воспитанников учащихся школ (МОУ СОШ №8, МОУ СОШ №9), студентов техникума железнодорожного транспорта.</w:t>
            </w: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bookmarkStart w:id="4" w:name="_Hlk51761957"/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6:00 до 08:00 и с 22:00 до 00:00</w:t>
            </w:r>
            <w:bookmarkEnd w:id="4"/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4-х часов)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не менее 2 учебных часов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14:00 до 16:00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не менее 4 учебных часов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8:00 до 12:00</w:t>
            </w: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10 часов ежедневно </w:t>
            </w:r>
          </w:p>
          <w:p w:rsidR="0011087D" w:rsidRDefault="0011087D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87D" w:rsidRPr="00126154" w:rsidRDefault="0011087D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29B" w:rsidRPr="00126154" w:rsidRDefault="0059229B" w:rsidP="0011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9229B" w:rsidRPr="00D80ADE" w:rsidTr="004F3BF9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9B" w:rsidRPr="00D80ADE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Hlk52203020"/>
            <w:bookmarkEnd w:id="2"/>
            <w:r w:rsidRPr="00D8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9B" w:rsidRDefault="0059229B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Предоставлять на безвозмездной основе не менее 5 часов в месяц для проведения муниципальных соревнований, чемпионатов, спартакиад, сдач нормативов военнослужащими учебной авиационной базы, тестирование норм ВФСК ГТО среди всех слоев населения по предварительному обращению.</w:t>
            </w:r>
          </w:p>
          <w:p w:rsidR="004F3BF9" w:rsidRPr="00D80ADE" w:rsidRDefault="004F3BF9" w:rsidP="00266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часов в месяц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9B" w:rsidRPr="00D80ADE" w:rsidRDefault="0059229B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9B" w:rsidRPr="00D80ADE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9229B" w:rsidRPr="00126154" w:rsidTr="004F3BF9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Hlk52203266"/>
            <w:bookmarkStart w:id="7" w:name="_Hlk51762091"/>
            <w:bookmarkEnd w:id="3"/>
            <w:bookmarkEnd w:id="5"/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концессионной платы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1 000 000 руб.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bookmarkEnd w:id="6"/>
      <w:tr w:rsidR="0059229B" w:rsidRPr="00D80ADE" w:rsidTr="004F3BF9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реконструкции Объектов реконструкции (в днях)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Default="0059229B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мес.)</w:t>
            </w:r>
          </w:p>
          <w:p w:rsidR="000F7FD5" w:rsidRPr="00126154" w:rsidRDefault="000F7FD5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 месяцев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29B" w:rsidRPr="00126154" w:rsidRDefault="0059229B" w:rsidP="000C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29B" w:rsidRPr="00126154" w:rsidRDefault="0059229B" w:rsidP="00266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bookmarkEnd w:id="7"/>
    </w:tbl>
    <w:p w:rsidR="0059229B" w:rsidRPr="00D803A1" w:rsidRDefault="0059229B" w:rsidP="005922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29B" w:rsidRPr="00A95C5B" w:rsidRDefault="00097A41" w:rsidP="00882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59229B" w:rsidRPr="008B0F7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к, место и срок предоставления К</w:t>
      </w:r>
      <w:r w:rsidR="0059229B" w:rsidRPr="008B0F72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онкурсной документации:</w:t>
      </w:r>
    </w:p>
    <w:p w:rsidR="00426BA9" w:rsidRDefault="00E73F73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="0059229B" w:rsidRPr="00EC4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дня размещения на Официальном сайте сообщения о конкурсе секретарь Конкурсной комиссии обязан на основании поданного в письменной форме заявления любого Заинтересованного лица предоставить такому лицу копию Конкурсной документации и объекта соглашения (предоставляется в электронном варианте) в течение 5 (Пяти) рабочих дней с даты поступления письменного заявления о предоставлении Конкурсной документации.</w:t>
      </w:r>
      <w:proofErr w:type="gramEnd"/>
    </w:p>
    <w:p w:rsidR="00426BA9" w:rsidRPr="00426BA9" w:rsidRDefault="00426BA9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с конкурсной документацией можно ознакомиться на сайт</w:t>
      </w:r>
      <w:r w:rsidR="005E4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hyperlink r:id="rId5" w:history="1">
        <w:r w:rsidRPr="00FB50D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B50D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.torgi.gov.ru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официальном сайте администрации или по предварительному запросу заявителя/участника. </w:t>
      </w:r>
    </w:p>
    <w:p w:rsidR="0059229B" w:rsidRPr="00AD512C" w:rsidRDefault="00E73F73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документация предоставляется Заинтересованному лицу по его выбору одним из следующих способов:</w:t>
      </w:r>
    </w:p>
    <w:p w:rsidR="0059229B" w:rsidRPr="00AD512C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электронной почте (в заявлении должен быть указан электронный адрес почты </w:t>
      </w:r>
      <w:proofErr w:type="gramStart"/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Заинтересованного</w:t>
      </w:r>
      <w:proofErr w:type="gramEnd"/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лица);</w:t>
      </w:r>
    </w:p>
    <w:p w:rsidR="0059229B" w:rsidRPr="00AD512C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предоставленный электронный носитель (электронный носитель не должен быть ранее в эксплуатации или использовании, должен быть запечатан в заводскую упаковку, подтверждающую отсутствие его эксплуатации и использования</w:t>
      </w:r>
      <w:proofErr w:type="gramStart"/>
      <w:r w:rsidRPr="0032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заявлении долж</w:t>
      </w:r>
      <w:r w:rsidR="000C3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указаны фамилия, имя, отчество и паспортные данные лица (представител</w:t>
      </w:r>
      <w:r w:rsidR="000C3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Заинтересованного лица), которому должна быть выдана Конкурсная документация).</w:t>
      </w:r>
    </w:p>
    <w:p w:rsidR="0059229B" w:rsidRPr="00C73319" w:rsidRDefault="00E73F73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предоставления Конкурсной документации 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электронный носитель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bookmarkStart w:id="8" w:name="_Hlk52274329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412030 Саратовская область, </w:t>
      </w:r>
      <w:proofErr w:type="gramStart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Ртищево, ул. Красная, 6, </w:t>
      </w:r>
      <w:proofErr w:type="spellStart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229</w:t>
      </w:r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(Администрация Ртищевского муниципального района)</w:t>
      </w:r>
      <w:bookmarkEnd w:id="8"/>
      <w:r w:rsidR="0059229B" w:rsidRP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B" w:rsidRPr="00AD512C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представления Конкурсной документации</w:t>
      </w:r>
      <w:r w:rsidR="00882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4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0C3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проектно-сметной документации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нарочным способом осуществляется пропускной режим. Контактные телефоны для подачи заявок на оформление пропусков:</w:t>
      </w:r>
      <w:r w:rsidR="00C73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8(84540)4-20-10</w:t>
      </w:r>
      <w:r w:rsidR="006C6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B" w:rsidRPr="00AD512C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заявок на оформление пропусков осуществляется заблаговременно. Окончанием срока подачи заявок на оформление пропусков является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30 минут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дня, предшествующего последнему дню срока предоставления Заинтересованному лицу Конкурсной документации, установленному в сообщении о проведении Конкурса.</w:t>
      </w:r>
    </w:p>
    <w:p w:rsidR="0059229B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несоблюдении данного условия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Концедент, Конкурсная комиссия 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несет ответственности за невозможность прохода дляпредставления Конкурсной документации нарочным способом.</w:t>
      </w:r>
    </w:p>
    <w:p w:rsidR="0059229B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документация предоставляется Заинтересованному лицу в течение 5 (пяти) рабочих дней с момента получения заявления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B" w:rsidRDefault="00E73F73" w:rsidP="00882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за предоставление К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онкурсной документации: </w:t>
      </w:r>
    </w:p>
    <w:p w:rsidR="0059229B" w:rsidRPr="00862883" w:rsidRDefault="0059229B" w:rsidP="008820C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Плата за предоставление Конкурсной документации </w:t>
      </w:r>
      <w:r w:rsidRPr="0086288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не взимается. </w:t>
      </w:r>
    </w:p>
    <w:p w:rsidR="0059229B" w:rsidRDefault="00E73F73" w:rsidP="00882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К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онкурсной комиссии: </w:t>
      </w:r>
    </w:p>
    <w:p w:rsidR="0059229B" w:rsidRPr="00C81DAC" w:rsidRDefault="0059229B" w:rsidP="00882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 xml:space="preserve">412030 Саратовская область, </w:t>
      </w:r>
      <w:proofErr w:type="gramStart"/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 xml:space="preserve">. Ртищево, ул. Красная, 6, </w:t>
      </w:r>
      <w:proofErr w:type="spellStart"/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07A2">
        <w:rPr>
          <w:rFonts w:ascii="Times New Roman" w:eastAsia="Times New Roman" w:hAnsi="Times New Roman"/>
          <w:sz w:val="24"/>
          <w:szCs w:val="24"/>
          <w:lang w:eastAsia="ru-RU"/>
        </w:rPr>
        <w:t>229</w:t>
      </w:r>
      <w:r w:rsidRPr="00570534">
        <w:rPr>
          <w:rFonts w:ascii="Times New Roman" w:eastAsia="Times New Roman" w:hAnsi="Times New Roman"/>
          <w:sz w:val="24"/>
          <w:szCs w:val="24"/>
          <w:lang w:eastAsia="ru-RU"/>
        </w:rPr>
        <w:t xml:space="preserve"> (Администрация Ртищевского муниципального района)</w:t>
      </w:r>
      <w:r w:rsidRPr="00C81D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0534">
        <w:rPr>
          <w:rFonts w:ascii="Times New Roman" w:hAnsi="Times New Roman"/>
          <w:sz w:val="24"/>
          <w:szCs w:val="24"/>
        </w:rPr>
        <w:t>rtishevomr@yandex.ru</w:t>
      </w:r>
      <w:r w:rsidR="00AB0E4F">
        <w:rPr>
          <w:rFonts w:ascii="Times New Roman" w:hAnsi="Times New Roman"/>
          <w:sz w:val="24"/>
          <w:szCs w:val="24"/>
        </w:rPr>
        <w:t xml:space="preserve">. </w:t>
      </w:r>
      <w:r w:rsidRPr="00AB0E4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 конкурсной комиссии – </w:t>
      </w:r>
      <w:r w:rsidR="00AB0E4F">
        <w:rPr>
          <w:rFonts w:ascii="Times New Roman" w:eastAsia="Times New Roman" w:hAnsi="Times New Roman"/>
          <w:sz w:val="24"/>
          <w:szCs w:val="24"/>
          <w:lang w:eastAsia="ru-RU"/>
        </w:rPr>
        <w:t>начальник одела кадровой и правовой работы администрации Ртищевского муниципального района</w:t>
      </w:r>
      <w:r w:rsidRPr="00AB0E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229B" w:rsidRPr="00C81DAC" w:rsidRDefault="00E73F73" w:rsidP="00882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ок, место и срок представления Заявок на участие в К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онкурсе (даты и время начала и истечения этого срока): </w:t>
      </w:r>
    </w:p>
    <w:p w:rsidR="0059229B" w:rsidRPr="0094090D" w:rsidRDefault="00E73F73" w:rsidP="008820C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на участие в Конкурсе представляются секретарю Конкурсной комиссии по адресу: 412030 Саратовская область, г</w:t>
      </w:r>
      <w:proofErr w:type="gramStart"/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тищево, ул. Красная, 6, </w:t>
      </w:r>
      <w:proofErr w:type="spellStart"/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4090D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229</w:t>
      </w:r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(с пометкой «секретарю конкурсной комиссии, конкурс на право заключения концессионного соглашения по реконструкции стадиона, расположенного по адресу: г. Ртищево, ул. Железнодорожная 72 «Б» Телефон секретаря Конкурсной комиссии (84540) 4-</w:t>
      </w:r>
      <w:r w:rsidR="0094090D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="0094090D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9229B" w:rsidRPr="00940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адрес электронной почты: rtishevomr@yandex.ru.. Заявка должна соответствовать требованиям к содержанию и оформлению Заявок, предусмотренным разделом 13 Конкурсной документации. </w:t>
      </w:r>
    </w:p>
    <w:p w:rsidR="0059229B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Заявка не может быть принята в случае нарушения положений настоящего пункта о способе ее подачи, требований к оформлению. В случае обнаружения нарушений после принятия Заявки, Заявка не подлежит рассмотрению </w:t>
      </w:r>
    </w:p>
    <w:p w:rsidR="0059229B" w:rsidRPr="00AD512C" w:rsidRDefault="0059229B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(часы и минуты) во избежание совпадения времени </w:t>
      </w:r>
      <w:proofErr w:type="gramStart"/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временем представления других Заявок. Временем представления Заявки является дата и время регистрации Заявки в журнале регистрации Заявок.</w:t>
      </w:r>
    </w:p>
    <w:p w:rsidR="0059229B" w:rsidRPr="00AD512C" w:rsidRDefault="00E73F73" w:rsidP="00882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proofErr w:type="gramStart"/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предоставлении Заявки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Описи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ее копии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делается отметка о приеме (с проставлением даты и времени представления Заявки (часы и минуты), после чего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копия описи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возвращается Заявителю (уполномоченному лицу)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оригинал остается в Конкурсной документации.</w:t>
      </w:r>
      <w:proofErr w:type="gramEnd"/>
    </w:p>
    <w:p w:rsidR="0059229B" w:rsidRPr="00AD512C" w:rsidRDefault="00E73F73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Заявки, оформленные и запечатанные в соответствии с требованиями Конкурсной документации, принимаются на протяжении всего Срока представления Заявок, указанного в пункте 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13.16.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документации. </w:t>
      </w:r>
    </w:p>
    <w:p w:rsidR="0059229B" w:rsidRDefault="00E73F73" w:rsidP="0088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Заявки, представленные с опозданием, не принимаются и не рассматриваются. В этом случае представленный конверт с Заявкой возвращается Заявителю нераспечатанным вместе с Описью, на которой делается отметка об отказе в принятии с указанием причины отказа, в течение 3 (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поступления.</w:t>
      </w:r>
    </w:p>
    <w:p w:rsidR="0059229B" w:rsidRPr="00BE540D" w:rsidRDefault="009661CE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10. </w:t>
      </w:r>
      <w:r w:rsidR="0059229B" w:rsidRPr="00BE54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представления Заявок:</w:t>
      </w:r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412030 Саратовская область, г</w:t>
      </w:r>
      <w:proofErr w:type="gramStart"/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тищево, </w:t>
      </w:r>
      <w:r w:rsid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</w:t>
      </w:r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Красная, 6, </w:t>
      </w:r>
      <w:proofErr w:type="spellStart"/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E540D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229</w:t>
      </w:r>
      <w:r w:rsidR="0059229B"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(Администрация Ртищевского муниципального района).</w:t>
      </w:r>
    </w:p>
    <w:p w:rsidR="00BE540D" w:rsidRDefault="009661CE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10.1.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представления Заявок осуществляется пропускной режим. Контактные телефоны для подачи заявок на оформление пропусков:</w:t>
      </w:r>
      <w:r w:rsid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8(84540)4-20-10.</w:t>
      </w:r>
    </w:p>
    <w:p w:rsidR="0059229B" w:rsidRPr="00BE540D" w:rsidRDefault="0059229B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заявок на оформление пропусков осуществляется заблаговременно. Окончанием срока подачи заявок на оформление пропусков является 16 часов 30 минут рабочего дня, предшествующего дню окончания Срока предоставления Заявок.</w:t>
      </w:r>
    </w:p>
    <w:p w:rsidR="00AE2FB7" w:rsidRPr="00AD512C" w:rsidRDefault="0059229B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несоблюдении данного условия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комиссия </w:t>
      </w:r>
      <w:r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несет ответственности за невозможность прохода дляпредставления Заявки.</w:t>
      </w:r>
    </w:p>
    <w:p w:rsidR="0059229B" w:rsidRPr="004F3BF9" w:rsidRDefault="009661CE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Ref994776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="0059229B" w:rsidRPr="004F3BF9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начала подачи Заявок:</w:t>
      </w:r>
      <w:r w:rsidR="0059229B" w:rsidRPr="004F3BF9">
        <w:rPr>
          <w:rFonts w:ascii="Times New Roman" w:eastAsia="Times New Roman" w:hAnsi="Times New Roman"/>
          <w:sz w:val="24"/>
          <w:szCs w:val="24"/>
          <w:lang w:eastAsia="ru-RU"/>
        </w:rPr>
        <w:t>16 октября 20</w:t>
      </w:r>
      <w:r w:rsidR="00EC2EEF" w:rsidRPr="004F3BF9">
        <w:rPr>
          <w:rFonts w:ascii="Times New Roman" w:eastAsia="Times New Roman" w:hAnsi="Times New Roman"/>
          <w:sz w:val="24"/>
          <w:szCs w:val="24"/>
          <w:lang w:eastAsia="ru-RU"/>
        </w:rPr>
        <w:t>20 года 10</w:t>
      </w:r>
      <w:r w:rsidR="0059229B" w:rsidRPr="004F3BF9">
        <w:rPr>
          <w:rFonts w:ascii="Times New Roman" w:eastAsia="Times New Roman" w:hAnsi="Times New Roman"/>
          <w:sz w:val="24"/>
          <w:szCs w:val="24"/>
          <w:lang w:eastAsia="ru-RU"/>
        </w:rPr>
        <w:t>:00.</w:t>
      </w:r>
    </w:p>
    <w:p w:rsidR="0059229B" w:rsidRPr="005B5E98" w:rsidRDefault="009661CE" w:rsidP="005A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="0059229B" w:rsidRPr="004F3BF9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окончания подачи Заявок:</w:t>
      </w:r>
      <w:r w:rsidR="00EC2EEF" w:rsidRPr="004F3BF9">
        <w:rPr>
          <w:rFonts w:ascii="Times New Roman" w:eastAsia="Times New Roman" w:hAnsi="Times New Roman"/>
          <w:sz w:val="24"/>
          <w:szCs w:val="24"/>
          <w:lang w:eastAsia="ru-RU"/>
        </w:rPr>
        <w:t xml:space="preserve"> 27 </w:t>
      </w:r>
      <w:r w:rsidR="0059229B" w:rsidRPr="004F3BF9">
        <w:rPr>
          <w:rFonts w:ascii="Times New Roman" w:eastAsia="Times New Roman" w:hAnsi="Times New Roman"/>
          <w:sz w:val="24"/>
          <w:szCs w:val="24"/>
          <w:lang w:eastAsia="ru-RU"/>
        </w:rPr>
        <w:t>ноября 201</w:t>
      </w:r>
      <w:r w:rsidR="00EC2EEF" w:rsidRPr="004F3BF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229B" w:rsidRPr="004F3B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10:00.</w:t>
      </w:r>
      <w:bookmarkEnd w:id="9"/>
    </w:p>
    <w:p w:rsidR="0059229B" w:rsidRPr="00C81DAC" w:rsidRDefault="009661CE" w:rsidP="005A1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13.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уплаты З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>адатка:</w:t>
      </w:r>
    </w:p>
    <w:p w:rsidR="0059229B" w:rsidRPr="00AD512C" w:rsidRDefault="009661CE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13.1. </w:t>
      </w:r>
      <w:r w:rsidR="0059229B" w:rsidRPr="00AD512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Каждый Заявитель в целях обеспечения исполнения своих обязательств по заключению Концессионного соглашения должен осуществить внесение Задатка в размере 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1 000 000</w:t>
      </w:r>
      <w:r w:rsidR="0059229B" w:rsidRPr="00AD512C">
        <w:rPr>
          <w:rFonts w:ascii="Times New Roman" w:hAnsi="Times New Roman"/>
          <w:color w:val="000000"/>
          <w:kern w:val="3"/>
          <w:sz w:val="24"/>
          <w:szCs w:val="24"/>
        </w:rPr>
        <w:t>(</w:t>
      </w:r>
      <w:r w:rsidR="0059229B">
        <w:rPr>
          <w:rFonts w:ascii="Times New Roman" w:hAnsi="Times New Roman"/>
          <w:color w:val="000000"/>
          <w:kern w:val="3"/>
          <w:sz w:val="24"/>
          <w:szCs w:val="24"/>
        </w:rPr>
        <w:t xml:space="preserve">один </w:t>
      </w:r>
      <w:r w:rsidR="0059229B" w:rsidRPr="00AD512C">
        <w:rPr>
          <w:rFonts w:ascii="Times New Roman" w:hAnsi="Times New Roman"/>
          <w:color w:val="000000"/>
          <w:kern w:val="3"/>
          <w:sz w:val="24"/>
          <w:szCs w:val="24"/>
        </w:rPr>
        <w:t>миллион)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рублей.</w:t>
      </w:r>
    </w:p>
    <w:p w:rsidR="00B5359D" w:rsidRDefault="009661CE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gramStart"/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 с подачей Заявки Заявитель должен 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обеспечения исполнения обязательства по заключению Концессионного соглашения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окончания срока представления Заявок</w:t>
      </w:r>
      <w:r w:rsidR="0071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- 27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712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.2020 г. – до 10.00 по местному времени </w:t>
      </w:r>
      <w:bookmarkStart w:id="10" w:name="_Hlk51762663"/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денежные средства должны находиться на счете </w:t>
      </w:r>
      <w:r w:rsidR="003E1421"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</w:t>
      </w:r>
      <w:r w:rsid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E1421"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управлению имуществом и земельным отношениям администрации Ртищевского муниципального района</w:t>
      </w:r>
      <w:r w:rsidR="0059229B" w:rsidRPr="009F5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указанном в п.12.2. настоящей Конкурсной документации)</w:t>
      </w:r>
      <w:bookmarkEnd w:id="10"/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5359D" w:rsidRDefault="009661CE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13.3. </w:t>
      </w:r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Задаток вносится Заявителем </w:t>
      </w:r>
      <w:proofErr w:type="gramStart"/>
      <w:r w:rsidR="0059229B" w:rsidRPr="00B5359D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с даты опубликования</w:t>
      </w:r>
      <w:proofErr w:type="gramEnd"/>
      <w:r w:rsidR="0059229B" w:rsidRPr="00B5359D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сообщения о проведении Конкурса</w:t>
      </w:r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Срока представления Заявок, определенного в соответствии с пунктом13.16. Конкурсной документации.</w:t>
      </w:r>
    </w:p>
    <w:p w:rsidR="00B5359D" w:rsidRDefault="005A1AA3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13.4. </w:t>
      </w:r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Задатка считается внесенной Заявителем с момента поступления на счет Концедента всей суммы Задатка. Заявитель несет риск исполнения денежного обязательства по перечислению суммы Задатка. В случае</w:t>
      </w:r>
      <w:proofErr w:type="gramStart"/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Заявителем в составе Заявки представлены документы, подтверждающие внесение суммы Задатка, и до даты вскрытия конвертов с Заявками, определенной в пункте14.1. Конкурсной документации, сумма Задатка не поступила на указанный счет, такой Заявитель признается не представившим обеспечение.</w:t>
      </w:r>
      <w:bookmarkStart w:id="11" w:name="_Ref523843263"/>
    </w:p>
    <w:p w:rsidR="0059229B" w:rsidRPr="00B5359D" w:rsidRDefault="005A1AA3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13.5. </w:t>
      </w:r>
      <w:r w:rsidR="0059229B" w:rsidRPr="00B53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Задатка перечисляется Заявителем на счет со следующими реквизитами:</w:t>
      </w:r>
      <w:bookmarkEnd w:id="11"/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Получатель: (УФК по Саратовской области (Отдел по управлению имуществом и земельным отношениям администрации Ртищевского муниципального района), </w:t>
      </w:r>
      <w:proofErr w:type="gramStart"/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 05603023310)</w:t>
      </w:r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6446011586</w:t>
      </w:r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 644601001</w:t>
      </w:r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1056404602198</w:t>
      </w:r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 046311001</w:t>
      </w:r>
    </w:p>
    <w:p w:rsidR="00A704C8" w:rsidRPr="003E1421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счет: 40302810322023004262</w:t>
      </w:r>
    </w:p>
    <w:p w:rsidR="00A704C8" w:rsidRDefault="00A704C8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1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Банк: Отделение Саратов г.Саратов</w:t>
      </w:r>
    </w:p>
    <w:p w:rsidR="0059229B" w:rsidRPr="005B5E98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13.6.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Победителю конкурса, не подписавшему в установленный срок Концессионное соглашение, внесенный им Задаток не возвращается.</w:t>
      </w:r>
    </w:p>
    <w:p w:rsidR="0059229B" w:rsidRPr="008C00DD" w:rsidRDefault="008C00DD" w:rsidP="008C00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</w:t>
      </w:r>
      <w:r w:rsidR="0059229B" w:rsidRPr="008C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(даты и время начала и истечения этого срока): </w:t>
      </w:r>
    </w:p>
    <w:p w:rsidR="0059229B" w:rsidRPr="006A1A36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14.1. </w:t>
      </w:r>
      <w:r w:rsidR="0059229B" w:rsidRPr="006A1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предложения представляются Участниками конкурса секретарю Конкурсной </w:t>
      </w:r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 по адресу: 412030 Саратовская область, г</w:t>
      </w:r>
      <w:proofErr w:type="gramStart"/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тищево, ул. Красная, 6, </w:t>
      </w:r>
      <w:proofErr w:type="spellStart"/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E2149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229</w:t>
      </w:r>
      <w:r w:rsidR="0059229B" w:rsidRPr="002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9229B" w:rsidRPr="006A1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запечатанных конвертах с пометкой «секретарю конкурсной комиссии, конкурсное предложение на право заключения концессионного соглашения по реконструкции стадиона, расположенного по адресу: г. Ртищево, ул. Железнодорожная 72 «Б»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9229B" w:rsidRPr="006A1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Конкурсное предложение должно соответствовать требованиям к содержанию и оформлению Конкурсных предложений, предусмотренных разделом 16 Конкурсной документации. </w:t>
      </w:r>
    </w:p>
    <w:p w:rsidR="0059229B" w:rsidRPr="001B21CC" w:rsidRDefault="0059229B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Конкурсное предложение не может быть принято в случае нарушения положений настоящего пункта о способе его подачи, требований к оформлению. В случае обнаружения нарушений после принятия Конкурсного предложения, Конкурсное предложение не подлежит рассмотрению Конкурсной комиссией, о чем Заявитель, прошедший Предварительный отбор, немедленно уведомляется. Такое Конкурсное предложение подлежит возвращению Заявителю, прошедшему Предварительный отбор, в течение 3 (Трех) р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абочих дней со дня поступления.</w:t>
      </w:r>
    </w:p>
    <w:p w:rsidR="0059229B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14.2.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Поданное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lastRenderedPageBreak/>
        <w:t xml:space="preserve">совпадения времени </w:t>
      </w:r>
      <w:proofErr w:type="gramStart"/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с</w:t>
      </w:r>
      <w:proofErr w:type="gramEnd"/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временем представления других Конкурсных предложений. Временем представления Конкурсного предложения является дата и время регистрации в журнале регистрации Конкурсных предложений.</w:t>
      </w:r>
    </w:p>
    <w:p w:rsidR="0059229B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14.3. </w:t>
      </w:r>
      <w:proofErr w:type="gramStart"/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При представлении Конкурсного предложения на Описи и её копии делается отметка о приеме (с проставлением даты и времени представления Конкурсного предложения (ча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сы и минуты), после чего копия О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писи возвращается Заявителю, прошедшему предварительный отбор (уполномоченному лицу).</w:t>
      </w:r>
      <w:proofErr w:type="gramEnd"/>
    </w:p>
    <w:p w:rsidR="0059229B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14.4. 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Конкурсные предложения, оформленные и запечатанные в конверты в соответствии с требованиями Конкурсной документации, принимаются Конкурсной комиссией на протяжении всего Срока представления Конкурсных предложений, указанного в пункте 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16.1.10.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Конкурсной документации, по рабочим дням: с </w:t>
      </w:r>
      <w:r w:rsidR="00273B26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10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часов 00 минут до 13 часов 00 минут и с 14 часов 00 минут до 1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7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часов 00 минут</w:t>
      </w:r>
      <w:r w:rsidR="0059229B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по местному времени 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(в последний день срока представления конкурсных предложений – до 1</w:t>
      </w:r>
      <w:r w:rsidR="00273B26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0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часов 00 минут).</w:t>
      </w:r>
    </w:p>
    <w:p w:rsidR="0059229B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14.5. 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Конкурсные предложения, представленные с опозданием, не принимаются. В этом случае представленный конверт с Конкурсным предложением возвращается Заявителю, прошедшему предварительный отбор, нераспечатанным вместе с Описью, на которой делается отметка об отказе в принятии с указанием причины отказа в течение 3 (трех) рабочих дней со дня поступления.</w:t>
      </w:r>
    </w:p>
    <w:p w:rsidR="0059229B" w:rsidRDefault="008C00DD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 xml:space="preserve">15. </w:t>
      </w:r>
      <w:r w:rsidR="0059229B" w:rsidRPr="00733093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Место представления Конкурсных предложений:</w:t>
      </w:r>
      <w:r w:rsidR="0020601A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="0059229B" w:rsidRPr="006A1A36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по адресу: </w:t>
      </w:r>
      <w:r w:rsidR="0059229B" w:rsidRP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412030 Саратовская область, г</w:t>
      </w:r>
      <w:proofErr w:type="gramStart"/>
      <w:r w:rsidR="0059229B" w:rsidRP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.Р</w:t>
      </w:r>
      <w:proofErr w:type="gramEnd"/>
      <w:r w:rsidR="0059229B" w:rsidRP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 xml:space="preserve">тищево, ул. Красная, 6, </w:t>
      </w:r>
      <w:proofErr w:type="spellStart"/>
      <w:r w:rsidR="0059229B" w:rsidRP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каб</w:t>
      </w:r>
      <w:proofErr w:type="spellEnd"/>
      <w:r w:rsidR="0059229B" w:rsidRP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 xml:space="preserve">. </w:t>
      </w:r>
      <w:r w:rsidR="00C45ADD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229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92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Ртищевского муниципального района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9229B"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59229B" w:rsidRDefault="0059229B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В месте представления Конкурсных предложений осуществляется пропускной режим. Контактные телефоны для подачи заявок на оформление пропусков:</w:t>
      </w:r>
      <w:r w:rsidR="00C45ADD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8(84540)4-20-10.</w:t>
      </w:r>
    </w:p>
    <w:p w:rsidR="0059229B" w:rsidRDefault="0059229B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Подача заявок на оформление пропусков осуществляется заблаговременно. Окончанием срока подачи заявок на оформление пропусков является 16 часов 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3</w:t>
      </w: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0 минут рабочего дня, предшествующего дню окончания Срока предс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тавления конкурсных предложений</w:t>
      </w: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.</w:t>
      </w:r>
    </w:p>
    <w:p w:rsidR="0059229B" w:rsidRPr="00246789" w:rsidRDefault="0059229B" w:rsidP="008C0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1CC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При несоблюдении данного условия Конкурсная комиссия не несет ответственности </w:t>
      </w:r>
      <w:r w:rsidRPr="0024678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за невозможность прохода для представления Конкурсных предложений.</w:t>
      </w:r>
    </w:p>
    <w:p w:rsidR="0020601A" w:rsidRDefault="008C00DD" w:rsidP="002060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 xml:space="preserve">16. </w:t>
      </w:r>
      <w:r w:rsidR="0059229B" w:rsidRPr="00D02129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Дата и время начала представления Конкурсных предложений</w:t>
      </w:r>
      <w:r w:rsidR="0059229B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:0</w:t>
      </w:r>
      <w:r w:rsidR="00761E38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7</w:t>
      </w:r>
      <w:r w:rsidR="0059229B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декабря 2020 года </w:t>
      </w:r>
      <w:r w:rsidR="00761E38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10</w:t>
      </w:r>
      <w:r w:rsidR="0059229B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:00.</w:t>
      </w:r>
      <w:r w:rsidR="0020601A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20601A" w:rsidRDefault="0020601A" w:rsidP="002060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 w:rsidRPr="0020601A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17.</w:t>
      </w:r>
      <w:r w:rsidR="0059229B" w:rsidRPr="00D02129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Дата и время окончания представления Конкурсных предложений:</w:t>
      </w:r>
      <w:r w:rsidR="00761E38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11 </w:t>
      </w:r>
      <w:r w:rsidR="0059229B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марта 2021 года 1</w:t>
      </w:r>
      <w:r w:rsidR="002E0B61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0</w:t>
      </w:r>
      <w:r w:rsidR="0059229B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:00</w:t>
      </w:r>
      <w:r w:rsidR="0059229B" w:rsidRPr="00D02129"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.</w:t>
      </w:r>
    </w:p>
    <w:p w:rsidR="0059229B" w:rsidRPr="0020601A" w:rsidRDefault="00451C0D" w:rsidP="002060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06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9229B" w:rsidRPr="00D02129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</w:t>
      </w:r>
    </w:p>
    <w:p w:rsidR="0059229B" w:rsidRPr="000A7628" w:rsidRDefault="0059229B" w:rsidP="00592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Конверты с Заявками вскрываются на заседании Конкурсной комиссии по адресу: </w:t>
      </w:r>
      <w:bookmarkStart w:id="12" w:name="_Hlk52279392"/>
      <w:r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412030 Саратовская область, г</w:t>
      </w:r>
      <w:proofErr w:type="gramStart"/>
      <w:r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.Р</w:t>
      </w:r>
      <w:proofErr w:type="gramEnd"/>
      <w:r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 xml:space="preserve">тищево, ул. Красная, 6, </w:t>
      </w:r>
      <w:proofErr w:type="spellStart"/>
      <w:r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каб</w:t>
      </w:r>
      <w:proofErr w:type="spellEnd"/>
      <w:r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 xml:space="preserve">. </w:t>
      </w:r>
      <w:r w:rsidR="00B75497" w:rsidRPr="00D02129">
        <w:rPr>
          <w:rFonts w:ascii="Times New Roman" w:eastAsia="Times New Roman CYR" w:hAnsi="Times New Roman"/>
          <w:kern w:val="3"/>
          <w:sz w:val="24"/>
          <w:szCs w:val="24"/>
          <w:lang w:eastAsia="ja-JP" w:bidi="fa-IR"/>
        </w:rPr>
        <w:t>30</w:t>
      </w:r>
      <w:r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, в 10:00 по местному времени </w:t>
      </w:r>
      <w:r w:rsidR="00FE1D28"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u w:val="single"/>
          <w:lang w:eastAsia="ja-JP" w:bidi="fa-IR"/>
        </w:rPr>
        <w:t>27</w:t>
      </w:r>
      <w:r w:rsidRPr="00D02129">
        <w:rPr>
          <w:rFonts w:ascii="Times New Roman" w:eastAsia="Times New Roman CYR" w:hAnsi="Times New Roman"/>
          <w:color w:val="000000"/>
          <w:kern w:val="3"/>
          <w:sz w:val="24"/>
          <w:szCs w:val="24"/>
          <w:u w:val="single"/>
          <w:lang w:eastAsia="ja-JP" w:bidi="fa-IR"/>
        </w:rPr>
        <w:t xml:space="preserve"> ноября 2020 г.</w:t>
      </w:r>
    </w:p>
    <w:bookmarkEnd w:id="12"/>
    <w:p w:rsidR="0059229B" w:rsidRPr="002B6E70" w:rsidRDefault="00451C0D" w:rsidP="00451C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20601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9229B" w:rsidRPr="002B6E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Место, дата и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вскрытия конвертов с К</w:t>
      </w:r>
      <w:r w:rsidR="0059229B" w:rsidRPr="002B6E70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онкурсными предложениями:</w:t>
      </w:r>
    </w:p>
    <w:p w:rsidR="0059229B" w:rsidRPr="00451C0D" w:rsidRDefault="00451C0D" w:rsidP="00451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1</w:t>
      </w:r>
      <w:r w:rsidR="0020601A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9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.1. </w:t>
      </w:r>
      <w:r w:rsidR="0059229B" w:rsidRPr="00451C0D"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Конверты с Конкурсными предложениями вскрываются на заседании Конкурсной комиссии по адресу: </w:t>
      </w:r>
      <w:r w:rsidR="0059229B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412030 Саратовская область, г</w:t>
      </w:r>
      <w:proofErr w:type="gramStart"/>
      <w:r w:rsidR="00596B84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596B84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тищево, ул. Красная, 6, </w:t>
      </w:r>
      <w:proofErr w:type="spellStart"/>
      <w:r w:rsidR="00596B84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596B84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30</w:t>
      </w:r>
      <w:r w:rsidR="0059229B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10:00 по местному времени </w:t>
      </w:r>
      <w:r w:rsidR="0079527C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59229B" w:rsidRP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2021 г.</w:t>
      </w:r>
    </w:p>
    <w:p w:rsidR="0059229B" w:rsidRPr="00C81DAC" w:rsidRDefault="0020601A" w:rsidP="00451C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5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П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обедителя конкурса:</w:t>
      </w:r>
    </w:p>
    <w:p w:rsidR="00B87388" w:rsidRPr="00B87388" w:rsidRDefault="0020601A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разделом 18 Конкурсной документации.</w:t>
      </w:r>
    </w:p>
    <w:p w:rsidR="00B87388" w:rsidRPr="00B87388" w:rsidRDefault="0020601A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B87388" w:rsidRPr="00B87388" w:rsidRDefault="0020601A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_Ref49612227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20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  <w:bookmarkEnd w:id="13"/>
    </w:p>
    <w:p w:rsidR="00B87388" w:rsidRPr="00B87388" w:rsidRDefault="00B87388" w:rsidP="00451C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Конкурса, установленные в пункте 18.6 настоящей Конкурсной документации; </w:t>
      </w:r>
    </w:p>
    <w:p w:rsidR="00B87388" w:rsidRPr="00B87388" w:rsidRDefault="00B87388" w:rsidP="00451C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условия, содержащиеся в Конкурсных предложениях Участников конкурса; </w:t>
      </w:r>
    </w:p>
    <w:p w:rsidR="00B87388" w:rsidRPr="00B87388" w:rsidRDefault="00B87388" w:rsidP="00451C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рассмотрения Конкурсных предложений Участников конкурса с указанием Конкурсных предложений Участников конкурса, в отношении которых принято решение об их несоответствии требованиям Конкурсной документации; </w:t>
      </w:r>
    </w:p>
    <w:p w:rsidR="00B87388" w:rsidRPr="00B87388" w:rsidRDefault="00B87388" w:rsidP="00451C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оценки конкурсных предложений в соответствии с частями 5 и 6 статьи 32 Закона о концессионных соглашениях;</w:t>
      </w:r>
    </w:p>
    <w:p w:rsidR="00B87388" w:rsidRPr="00B87388" w:rsidRDefault="00B87388" w:rsidP="00451C0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(фамилия, имя, отчество) и место нахождения (место жительства) Победителя конкурса, обоснование принятого Конкурсной комиссией решения о признании Участника конкурса Победителем конкурса. </w:t>
      </w:r>
    </w:p>
    <w:p w:rsidR="00B87388" w:rsidRPr="00B87388" w:rsidRDefault="0020601A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="00BB1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7388" w:rsidRPr="00B8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участник Конкурса вправе обратиться к Концеденту за разъяснениями результатов проведения Конкурса, и Концедент обязан представить ему в письменной форме соответствующие разъяснения в течение 30 (Тридцати) дней со дня получения такого обращения.</w:t>
      </w:r>
    </w:p>
    <w:p w:rsidR="0059229B" w:rsidRPr="00AD512C" w:rsidRDefault="0020601A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1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59229B" w:rsidRPr="00AD5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о результатах проведения Конкурса размещается Конкурсной комиссией на Официальном сайте.</w:t>
      </w:r>
    </w:p>
    <w:p w:rsidR="0059229B" w:rsidRPr="00451C0D" w:rsidRDefault="0020601A" w:rsidP="00451C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Garamond"/>
          <w:color w:val="000000"/>
          <w:sz w:val="24"/>
          <w:szCs w:val="24"/>
          <w:lang w:val="fi-FI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5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.6. </w:t>
      </w:r>
      <w:r w:rsidR="0059229B" w:rsidRPr="00451C0D"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признания Концедентом Конкурса несостоявшимся по основаниям, предусмотренным Законом о концессионных соглашениях, Концедент осуществляет предусмотренные Законом о концессионных соглашениях действия, в порядке и сроки, установленные Законом о концессионных соглашениях.</w:t>
      </w:r>
    </w:p>
    <w:p w:rsidR="0059229B" w:rsidRPr="001B1EA0" w:rsidRDefault="00451C0D" w:rsidP="00451C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0601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ия членами конкурсной комиссии П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ротокола </w:t>
      </w:r>
      <w:r w:rsidR="0059229B" w:rsidRPr="001B1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проведения Конкурса: </w:t>
      </w:r>
    </w:p>
    <w:p w:rsidR="0059229B" w:rsidRDefault="0059229B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F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Конкурсной комиссией не позднее чем через 5 (пять) рабочих дней</w:t>
      </w:r>
      <w:r w:rsidRPr="00EF6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B" w:rsidRPr="00C81DAC" w:rsidRDefault="0020601A" w:rsidP="00451C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BB14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5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229B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подписания К</w:t>
      </w:r>
      <w:r w:rsidR="0059229B" w:rsidRPr="00C81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онцессионного соглашения: </w:t>
      </w:r>
    </w:p>
    <w:p w:rsidR="0059229B" w:rsidRDefault="0059229B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6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Концессионное соглашение должно быть </w:t>
      </w:r>
      <w:r w:rsidR="004E04C7" w:rsidRPr="00226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заключено</w:t>
      </w:r>
      <w:r w:rsidRPr="00226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</w:t>
      </w:r>
      <w:r w:rsidR="00700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226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(</w:t>
      </w:r>
      <w:r w:rsidR="00700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тридцати</w:t>
      </w:r>
      <w:r w:rsidRPr="00226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5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со дня, следующего за днем подписания Протокола о результатах проведения Конкурса.</w:t>
      </w:r>
    </w:p>
    <w:p w:rsidR="0059229B" w:rsidRPr="00B61639" w:rsidRDefault="0059229B" w:rsidP="0045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Термины и сокращения, начинающиеся с заглавной буквы, употреблен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в значениях, предусмотренных К</w:t>
      </w:r>
      <w:r w:rsidRPr="00B61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онкурсной документацией по проведению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Конкурса.</w:t>
      </w:r>
    </w:p>
    <w:p w:rsidR="0059229B" w:rsidRDefault="0059229B" w:rsidP="00592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168" w:rsidRDefault="00510168"/>
    <w:sectPr w:rsidR="00510168" w:rsidSect="008263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734"/>
    <w:multiLevelType w:val="hybridMultilevel"/>
    <w:tmpl w:val="B52CF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236"/>
    <w:multiLevelType w:val="hybridMultilevel"/>
    <w:tmpl w:val="8496D174"/>
    <w:lvl w:ilvl="0" w:tplc="603E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3D52"/>
    <w:multiLevelType w:val="multilevel"/>
    <w:tmpl w:val="76E6F09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3">
    <w:nsid w:val="337138D2"/>
    <w:multiLevelType w:val="multilevel"/>
    <w:tmpl w:val="CA9432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4">
    <w:nsid w:val="44757EB2"/>
    <w:multiLevelType w:val="multilevel"/>
    <w:tmpl w:val="8FFAF79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69730A8"/>
    <w:multiLevelType w:val="multilevel"/>
    <w:tmpl w:val="CA9432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6">
    <w:nsid w:val="7ACA6126"/>
    <w:multiLevelType w:val="multilevel"/>
    <w:tmpl w:val="60F61F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9B"/>
    <w:rsid w:val="0007507E"/>
    <w:rsid w:val="00097A41"/>
    <w:rsid w:val="000B2FBB"/>
    <w:rsid w:val="000C32A8"/>
    <w:rsid w:val="000E76D7"/>
    <w:rsid w:val="000F7FD5"/>
    <w:rsid w:val="00106E0C"/>
    <w:rsid w:val="0011087D"/>
    <w:rsid w:val="00126154"/>
    <w:rsid w:val="0013490F"/>
    <w:rsid w:val="00163E8A"/>
    <w:rsid w:val="001B1EA0"/>
    <w:rsid w:val="001D29E0"/>
    <w:rsid w:val="0020601A"/>
    <w:rsid w:val="00226945"/>
    <w:rsid w:val="00234BB6"/>
    <w:rsid w:val="00255E1C"/>
    <w:rsid w:val="00256BB0"/>
    <w:rsid w:val="00273B26"/>
    <w:rsid w:val="002A0AEC"/>
    <w:rsid w:val="002E0B61"/>
    <w:rsid w:val="003679AD"/>
    <w:rsid w:val="003778EC"/>
    <w:rsid w:val="003E1421"/>
    <w:rsid w:val="004261D4"/>
    <w:rsid w:val="00426BA9"/>
    <w:rsid w:val="004318A1"/>
    <w:rsid w:val="00451C0D"/>
    <w:rsid w:val="004711D0"/>
    <w:rsid w:val="00476A60"/>
    <w:rsid w:val="00494A28"/>
    <w:rsid w:val="004C1411"/>
    <w:rsid w:val="004E04C7"/>
    <w:rsid w:val="004F3BF9"/>
    <w:rsid w:val="00505B33"/>
    <w:rsid w:val="00510168"/>
    <w:rsid w:val="00513981"/>
    <w:rsid w:val="00590EDE"/>
    <w:rsid w:val="0059229B"/>
    <w:rsid w:val="005947DA"/>
    <w:rsid w:val="00596B84"/>
    <w:rsid w:val="005A1AA3"/>
    <w:rsid w:val="005B4E6D"/>
    <w:rsid w:val="005B5E98"/>
    <w:rsid w:val="005E499D"/>
    <w:rsid w:val="006C6ABD"/>
    <w:rsid w:val="00700BE5"/>
    <w:rsid w:val="007075DC"/>
    <w:rsid w:val="007124CC"/>
    <w:rsid w:val="00747211"/>
    <w:rsid w:val="00761E38"/>
    <w:rsid w:val="0079527C"/>
    <w:rsid w:val="007A2C0F"/>
    <w:rsid w:val="008338C8"/>
    <w:rsid w:val="00842F0E"/>
    <w:rsid w:val="008471C8"/>
    <w:rsid w:val="008602AD"/>
    <w:rsid w:val="008820C1"/>
    <w:rsid w:val="008B4580"/>
    <w:rsid w:val="008C00DD"/>
    <w:rsid w:val="00907DB6"/>
    <w:rsid w:val="0092731A"/>
    <w:rsid w:val="0094090D"/>
    <w:rsid w:val="009661CE"/>
    <w:rsid w:val="009F0512"/>
    <w:rsid w:val="00A06646"/>
    <w:rsid w:val="00A368BC"/>
    <w:rsid w:val="00A704C8"/>
    <w:rsid w:val="00A7637F"/>
    <w:rsid w:val="00A76ADF"/>
    <w:rsid w:val="00AA1AD5"/>
    <w:rsid w:val="00AB0E4F"/>
    <w:rsid w:val="00AE2FB7"/>
    <w:rsid w:val="00B5359D"/>
    <w:rsid w:val="00B75497"/>
    <w:rsid w:val="00B87388"/>
    <w:rsid w:val="00B96FD2"/>
    <w:rsid w:val="00BB14BF"/>
    <w:rsid w:val="00BC383B"/>
    <w:rsid w:val="00BE540D"/>
    <w:rsid w:val="00C20FF9"/>
    <w:rsid w:val="00C45ADD"/>
    <w:rsid w:val="00C73319"/>
    <w:rsid w:val="00C808F1"/>
    <w:rsid w:val="00C842CE"/>
    <w:rsid w:val="00D02129"/>
    <w:rsid w:val="00DC50C3"/>
    <w:rsid w:val="00E01030"/>
    <w:rsid w:val="00E0352A"/>
    <w:rsid w:val="00E0737F"/>
    <w:rsid w:val="00E27FD8"/>
    <w:rsid w:val="00E73F73"/>
    <w:rsid w:val="00EC2EEF"/>
    <w:rsid w:val="00EE2149"/>
    <w:rsid w:val="00EE2E70"/>
    <w:rsid w:val="00F317CE"/>
    <w:rsid w:val="00F4607B"/>
    <w:rsid w:val="00FB07A2"/>
    <w:rsid w:val="00FE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229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9229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26BA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6B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2020-10-12T06:47:00Z</cp:lastPrinted>
  <dcterms:created xsi:type="dcterms:W3CDTF">2020-10-12T10:42:00Z</dcterms:created>
  <dcterms:modified xsi:type="dcterms:W3CDTF">2020-10-15T07:24:00Z</dcterms:modified>
</cp:coreProperties>
</file>