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51" w:rsidRDefault="00710F51" w:rsidP="0031107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«Прекращение трудового договора за представление подложных документов»</w:t>
      </w:r>
    </w:p>
    <w:p w:rsidR="00710F51" w:rsidRDefault="00710F51" w:rsidP="004F412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10F51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договора.</w:t>
      </w:r>
    </w:p>
    <w:p w:rsidR="00710F51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Указанное основание относится к увольнению по инициативе работодателя, по нему нельзя уволить беременных женщин.</w:t>
      </w:r>
    </w:p>
    <w:p w:rsidR="00710F51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Под документом понимают материальный носитель с зафиксированной на нем в любой форме информацией в виде текста,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710F51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Подложный документ - документ, созданный с нарушением действующего законодательства  и содержащий информацию, не соответствующую действительности.</w:t>
      </w:r>
    </w:p>
    <w:p w:rsidR="00710F51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</w:p>
    <w:p w:rsidR="00710F51" w:rsidRPr="004F4123" w:rsidRDefault="00710F51" w:rsidP="004F412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Увольнение по указанному основанию будет правомерным только в случае если, подложными признаны документы: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1. Представленные при трудоустройстве;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2. Послужившие основанием для заключения трудового договора;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3. Обязательные к представлению при заключении трудового договора;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 соответствии с ч. 1 ст. 65 ТК РФ работодатель вправе требовать от лица, поступающего на основную работу, следующие документы: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паспорт или иной документ, удостоверяющий личность;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страховое свидетельство обязательного пенсионного страхования;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документы воинского учета (для военнообязанных и лиц, подлежащих призыву на военную службу);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справку о наличии (отсутствии) судимости или факта уголовного преследования (на работу в образовательные, детские организации, педагогическую работу, работу, связанную с наркотическими средствами, с источниками повышенной опасности, в ведомственную охрану)</w:t>
      </w:r>
    </w:p>
    <w:p w:rsidR="00710F51" w:rsidRPr="004F4123" w:rsidRDefault="00710F51" w:rsidP="004F412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(ч. 2 ст. 65 ТК РФ).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 К дополнительным документам, которые работодатель вправе требовать от работника при поступлении на работу, относят: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а) совместительство:</w:t>
      </w:r>
    </w:p>
    <w:p w:rsidR="00710F51" w:rsidRPr="004F4123" w:rsidRDefault="00710F51" w:rsidP="004F412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разрешение уполномоченного органа юридического лица, где работник является руководителем (работа руководителем организации по совместительству);</w:t>
      </w:r>
    </w:p>
    <w:p w:rsidR="00710F51" w:rsidRPr="004F4123" w:rsidRDefault="00710F51" w:rsidP="004F412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справка о характере работы по основному месту работы (при приеме на работу с вредными и (или) опасными условиями труда  по совместительству);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б) иностранцы:</w:t>
      </w:r>
    </w:p>
    <w:p w:rsidR="00710F51" w:rsidRPr="004F4123" w:rsidRDefault="00710F51" w:rsidP="004F41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договор (полис) добровольного медицинского страхования, действующий на территории Российской Федерации, за исключением случаев, если работодатель заключает с медицинской организацией договор о предоставлении платных медицинских услуг работнику, являющемуся иностранным гражданином или лицом без гражданства, и случаев, установленных федеральными законами или международными договорами Российской Федерации, – при заключении трудового договора с временно пребывающими в Российской Федерации иностранным гражданином или лицом без гражданства;</w:t>
      </w:r>
    </w:p>
    <w:p w:rsidR="00710F51" w:rsidRPr="004F4123" w:rsidRDefault="00710F51" w:rsidP="004F41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разрешение на работу или патент (при заключении трудового договора с временно пребывающим в Российской Федерации иностранным гражданином или лицом без гражданства);</w:t>
      </w:r>
    </w:p>
    <w:p w:rsidR="00710F51" w:rsidRPr="004F4123" w:rsidRDefault="00710F51" w:rsidP="004F41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разрешение на временное проживание в Российской Федерации (при заключении трудового договора с временно проживающим в Российской Федерации иностранным гражданином или лицом без гражданства);</w:t>
      </w:r>
    </w:p>
    <w:p w:rsidR="00710F51" w:rsidRPr="004F4123" w:rsidRDefault="00710F51" w:rsidP="004F412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вид на жительство (при заключении трудового договора с постоянно проживающим в Российской Федерации иностранным гражданином или лицом без гражданства);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в) особая категория (женщины, несовершеннолетние, инвалиды, спортсмены, лица с семейными обязанностями и т.п.):</w:t>
      </w:r>
    </w:p>
    <w:p w:rsidR="00710F51" w:rsidRPr="004F4123" w:rsidRDefault="00710F51" w:rsidP="004F41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согласие одного из родителей и согласие органов опеки и попечительства (при приеме на работу несовершеннолетних до 15 лет);</w:t>
      </w:r>
    </w:p>
    <w:p w:rsidR="00710F51" w:rsidRPr="004F4123" w:rsidRDefault="00710F51" w:rsidP="004F41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согласие одного из родителей и разрешение органов опеки и попечительства (при приеме на работу несовершеннолетних до 14 лет (включая спортсменов));</w:t>
      </w:r>
    </w:p>
    <w:p w:rsidR="00710F51" w:rsidRPr="004F4123" w:rsidRDefault="00710F51" w:rsidP="004F41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индивидуальная программа реабилитации инвалида (при приеме на работу инвалида);</w:t>
      </w:r>
    </w:p>
    <w:p w:rsidR="00710F51" w:rsidRPr="004F4123" w:rsidRDefault="00710F51" w:rsidP="004F41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согласие комиссии по соблюдению требований к служебному поведению (при приеме бывшего государственного служащего);</w:t>
      </w:r>
    </w:p>
    <w:p w:rsidR="00710F51" w:rsidRPr="004F4123" w:rsidRDefault="00710F51" w:rsidP="004F412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сведения о доходах работника, его супруги, несовершеннолетних детей (при назначении на должности руководителей государственных (муниципальных) учреждений, приеме на работу в государственные корпорации на определенные должности, приеме на работу на определенные должности в организации, которые созданы для выполнения задач, поставленных перед федеральными государственными органами);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г) условия труда (вредность, районы Крайнего Севера и др.):</w:t>
      </w:r>
    </w:p>
    <w:p w:rsidR="00710F51" w:rsidRPr="004F4123" w:rsidRDefault="00710F51" w:rsidP="004F41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документ, подтверждающий прохождение предварительного медицинского осмотра (на работу с вредными, опасными условиями труда, подземные работы, работы, связанные с движением транспорта);</w:t>
      </w:r>
    </w:p>
    <w:p w:rsidR="00710F51" w:rsidRPr="004F4123" w:rsidRDefault="00710F51" w:rsidP="004F41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медицинская книжка (для работы в лечебно-профилактических организациях, организациях общественного питания, торговли, пищевой промышленности, водопроводных организациях, образования, воспитания, развития несовершеннолетних, организациях их отдыха и оздоровления);</w:t>
      </w:r>
    </w:p>
    <w:p w:rsidR="00710F51" w:rsidRPr="004F4123" w:rsidRDefault="00710F51" w:rsidP="004F41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медицинское заключение об отсутствии противопоказаний для работы (на работы, выполняемые вахтовым методом и для лиц, поступающих на работу в районы Крайнего Севера из других регионов, на работы с химическим оружием);</w:t>
      </w:r>
    </w:p>
    <w:p w:rsidR="00710F51" w:rsidRPr="004F4123" w:rsidRDefault="00710F51" w:rsidP="004F412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заявление о приеме на работу (на подземные работы).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</w:p>
    <w:p w:rsidR="00710F51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Факт подделки документов должен быть установлен компетентными инстанциями (например, образовательной организацией, выдавшей документ об образовании, правоохранительными органами, судом).</w:t>
      </w: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Установление подложности документа недостаточно для увольнения работника по этому основанию. Необходимо установить, что подложный документ был представлен при поступлении на работу именно им и никем другим.</w:t>
      </w: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О представлении подложного документа могут свидетельствовать, в частности, анкета, заполненная лицом, поступающим на работу, его автобиография и другие материалы.</w:t>
      </w: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Работодатель вправе самостоятельно провести проверку подлинности документа (запросить образовательную организацию, обратиться в экспертное учреждение) и по результатам принять решение об увольнении.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Если за проведением подобной проверки работодатель обратится в правоохранительные органы, он будет обязан дождаться её официальных результатов, сколько бы такая проверка не продолжалась. </w:t>
      </w:r>
    </w:p>
    <w:p w:rsidR="00710F51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Оформление расторжения трудового договора с работником, представившим подложные документы при приеме на работу, производится в общем порядке.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Поскольку в момент представления подложных документов лицо ещё не состоит с работодателем в трудовых отношениях, указанные виновные действия состава дисциплинарного проступка не образуют. Установленный законом порядок увольнения за совершение дисциплинарного проступка к данному случаю неприменим. Сроков давности нет. Возбуждать дисциплинарное производство, требовать у работника объяснений не нужно.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Работодатель издает приказ (распоряжение) о прекращении трудового договора, работник должен быть ознакомлен с этим приказом.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Срок, в течение которого должно быть произведено увольнение, законом не установлен. 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По требованию работника работодатель обязан выдать ему надлежащим образом заверенную копию указанного приказа (распоряжения). 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br/>
        <w:t>В день прекращения трудового договора работодатель обязан выдать работнику трудовую книжку и произвести с ним полный расчет (то есть выплатить всю причитающуюся заработную плату, компенсацию за все неиспользованные отпуска, прочие выплаты, если они предусмотрены трудовым и/или коллективным договором и/или локальными актами работодателя). Законодательство не предусматривает обязанность работодателя по выплате выходного пособия при увольнении работника по указанному основанию.</w:t>
      </w:r>
    </w:p>
    <w:p w:rsidR="00710F51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При расторжении трудового договора за виновные действия предоставление отпуска с последующим увольнением запрещено.</w:t>
      </w: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br/>
        <w:t>Как уже отмечалось, состава дисциплинарного проступка в действиях работника нет, однако его действия всё равно являются виновными.</w:t>
      </w: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 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color w:val="262E3A"/>
          <w:sz w:val="26"/>
          <w:szCs w:val="26"/>
          <w:lang w:eastAsia="ru-RU"/>
        </w:rPr>
        <w:t>Трудовой договор расторгается, его не признают фиктивным, ничтожным или аннулированным. Поэтому заработная плата с работника не взыскивается. Однако в судебном порядке может быть взыскана надбавка, если таковая была назначена и выплачивалась на основании подложного документа. Например, надбавка за классность водителю или надбавка за учёную степень научному работнику.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710F51" w:rsidRPr="004F4123" w:rsidRDefault="00710F51" w:rsidP="004F4123">
      <w:pPr>
        <w:shd w:val="clear" w:color="auto" w:fill="FFFFFF"/>
        <w:spacing w:after="150" w:line="360" w:lineRule="atLeast"/>
        <w:ind w:firstLine="360"/>
        <w:jc w:val="both"/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</w:pPr>
      <w:r w:rsidRPr="004F4123">
        <w:rPr>
          <w:rFonts w:ascii="Times New Roman" w:hAnsi="Times New Roman" w:cs="Times New Roman"/>
          <w:b/>
          <w:bCs/>
          <w:color w:val="262E3A"/>
          <w:sz w:val="26"/>
          <w:szCs w:val="26"/>
          <w:lang w:eastAsia="ru-RU"/>
        </w:rPr>
        <w:t>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отпуске.</w:t>
      </w:r>
    </w:p>
    <w:p w:rsidR="00710F51" w:rsidRPr="004F4123" w:rsidRDefault="00710F51" w:rsidP="0028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0F51" w:rsidRPr="00964225" w:rsidRDefault="00710F51" w:rsidP="0096422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0F51" w:rsidRDefault="00710F51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10F51" w:rsidRDefault="00710F51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710F51" w:rsidRDefault="00710F51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710F51" w:rsidRPr="00395440" w:rsidRDefault="00710F51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710F51" w:rsidRDefault="00710F51" w:rsidP="00A61942">
      <w:pPr>
        <w:spacing w:after="0" w:line="240" w:lineRule="auto"/>
        <w:jc w:val="both"/>
      </w:pPr>
    </w:p>
    <w:p w:rsidR="00710F51" w:rsidRPr="00A61942" w:rsidRDefault="00710F51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0F51" w:rsidRPr="00A61942" w:rsidRDefault="00710F51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10F51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76C"/>
    <w:multiLevelType w:val="multilevel"/>
    <w:tmpl w:val="9D6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BE76AC"/>
    <w:multiLevelType w:val="multilevel"/>
    <w:tmpl w:val="F1F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4593CEE"/>
    <w:multiLevelType w:val="multilevel"/>
    <w:tmpl w:val="8C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AA15741"/>
    <w:multiLevelType w:val="multilevel"/>
    <w:tmpl w:val="1F0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B7D16D6"/>
    <w:multiLevelType w:val="hybridMultilevel"/>
    <w:tmpl w:val="8FC02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CD469BF"/>
    <w:multiLevelType w:val="hybridMultilevel"/>
    <w:tmpl w:val="2E1A2308"/>
    <w:lvl w:ilvl="0" w:tplc="EED29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3C961260"/>
    <w:multiLevelType w:val="multilevel"/>
    <w:tmpl w:val="58A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5519FB"/>
    <w:multiLevelType w:val="multilevel"/>
    <w:tmpl w:val="B31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0A36348"/>
    <w:multiLevelType w:val="hybridMultilevel"/>
    <w:tmpl w:val="5308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332857"/>
    <w:multiLevelType w:val="multilevel"/>
    <w:tmpl w:val="B4DE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BA5F26"/>
    <w:multiLevelType w:val="multilevel"/>
    <w:tmpl w:val="2174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6705D3C"/>
    <w:multiLevelType w:val="multilevel"/>
    <w:tmpl w:val="2A5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0D20C7"/>
    <w:multiLevelType w:val="multilevel"/>
    <w:tmpl w:val="467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16C45F2"/>
    <w:multiLevelType w:val="multilevel"/>
    <w:tmpl w:val="3E3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6080702"/>
    <w:multiLevelType w:val="multilevel"/>
    <w:tmpl w:val="1176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470CE5"/>
    <w:multiLevelType w:val="multilevel"/>
    <w:tmpl w:val="C3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3"/>
  </w:num>
  <w:num w:numId="5">
    <w:abstractNumId w:val="27"/>
  </w:num>
  <w:num w:numId="6">
    <w:abstractNumId w:val="26"/>
  </w:num>
  <w:num w:numId="7">
    <w:abstractNumId w:val="14"/>
  </w:num>
  <w:num w:numId="8">
    <w:abstractNumId w:val="2"/>
  </w:num>
  <w:num w:numId="9">
    <w:abstractNumId w:val="9"/>
  </w:num>
  <w:num w:numId="10">
    <w:abstractNumId w:val="20"/>
  </w:num>
  <w:num w:numId="11">
    <w:abstractNumId w:val="18"/>
  </w:num>
  <w:num w:numId="12">
    <w:abstractNumId w:val="16"/>
  </w:num>
  <w:num w:numId="13">
    <w:abstractNumId w:val="13"/>
  </w:num>
  <w:num w:numId="14">
    <w:abstractNumId w:val="8"/>
  </w:num>
  <w:num w:numId="15">
    <w:abstractNumId w:val="7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2"/>
  </w:num>
  <w:num w:numId="21">
    <w:abstractNumId w:val="21"/>
  </w:num>
  <w:num w:numId="22">
    <w:abstractNumId w:val="11"/>
  </w:num>
  <w:num w:numId="23">
    <w:abstractNumId w:val="22"/>
  </w:num>
  <w:num w:numId="24">
    <w:abstractNumId w:val="24"/>
  </w:num>
  <w:num w:numId="25">
    <w:abstractNumId w:val="15"/>
  </w:num>
  <w:num w:numId="26">
    <w:abstractNumId w:val="0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0A18CF"/>
    <w:rsid w:val="00136913"/>
    <w:rsid w:val="001400F7"/>
    <w:rsid w:val="001670E1"/>
    <w:rsid w:val="00181221"/>
    <w:rsid w:val="001B63C7"/>
    <w:rsid w:val="00281A81"/>
    <w:rsid w:val="00300662"/>
    <w:rsid w:val="00311070"/>
    <w:rsid w:val="003269C6"/>
    <w:rsid w:val="00395440"/>
    <w:rsid w:val="003C55CB"/>
    <w:rsid w:val="003F4930"/>
    <w:rsid w:val="004C0758"/>
    <w:rsid w:val="004C7C16"/>
    <w:rsid w:val="004F4123"/>
    <w:rsid w:val="00513AEB"/>
    <w:rsid w:val="00557021"/>
    <w:rsid w:val="00557641"/>
    <w:rsid w:val="00560395"/>
    <w:rsid w:val="005C0CD8"/>
    <w:rsid w:val="005D0C42"/>
    <w:rsid w:val="005D2461"/>
    <w:rsid w:val="00650590"/>
    <w:rsid w:val="006A040D"/>
    <w:rsid w:val="006C152D"/>
    <w:rsid w:val="006F3AD7"/>
    <w:rsid w:val="0071020A"/>
    <w:rsid w:val="00710F51"/>
    <w:rsid w:val="00726FE0"/>
    <w:rsid w:val="007F3909"/>
    <w:rsid w:val="0084752C"/>
    <w:rsid w:val="00856CFE"/>
    <w:rsid w:val="008A6702"/>
    <w:rsid w:val="008D1468"/>
    <w:rsid w:val="0094037B"/>
    <w:rsid w:val="00964225"/>
    <w:rsid w:val="00965095"/>
    <w:rsid w:val="00A61942"/>
    <w:rsid w:val="00BC7A21"/>
    <w:rsid w:val="00BE4502"/>
    <w:rsid w:val="00C43D3C"/>
    <w:rsid w:val="00C671CF"/>
    <w:rsid w:val="00CC3D21"/>
    <w:rsid w:val="00CC79B0"/>
    <w:rsid w:val="00CD7CCB"/>
    <w:rsid w:val="00D27DEE"/>
    <w:rsid w:val="00D83C47"/>
    <w:rsid w:val="00E567A8"/>
    <w:rsid w:val="00EB7958"/>
    <w:rsid w:val="00ED4233"/>
    <w:rsid w:val="00F0505A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07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C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02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02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0209388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202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02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2020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202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02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</w:divsChild>
    </w:div>
    <w:div w:id="12020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88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1372</Words>
  <Characters>7826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dcterms:created xsi:type="dcterms:W3CDTF">2017-06-29T09:17:00Z</dcterms:created>
  <dcterms:modified xsi:type="dcterms:W3CDTF">2017-06-29T09:17:00Z</dcterms:modified>
</cp:coreProperties>
</file>