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19" w:rsidRPr="006E3119" w:rsidRDefault="006E3119" w:rsidP="006E311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E311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 составить акт о прогуле сотрудника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Если сотрудник без уважительных причин не явился на работу, руководство имеет право применить к нему </w:t>
      </w:r>
      <w:hyperlink r:id="rId5" w:history="1">
        <w:r w:rsidRPr="006E3119">
          <w:rPr>
            <w:rStyle w:val="a4"/>
            <w:color w:val="auto"/>
            <w:sz w:val="26"/>
            <w:szCs w:val="26"/>
            <w:u w:val="none"/>
          </w:rPr>
          <w:t>дисциплинарное взыскание</w:t>
        </w:r>
      </w:hyperlink>
      <w:r w:rsidRPr="006E3119">
        <w:rPr>
          <w:sz w:val="26"/>
          <w:szCs w:val="26"/>
        </w:rPr>
        <w:t>. Одним из документов, которые служат основанием для применения наказания, явл</w:t>
      </w:r>
      <w:r>
        <w:rPr>
          <w:sz w:val="26"/>
          <w:szCs w:val="26"/>
        </w:rPr>
        <w:t xml:space="preserve">яется акт о прогуле сотрудника. </w:t>
      </w:r>
      <w:r w:rsidRPr="006E3119">
        <w:rPr>
          <w:sz w:val="26"/>
          <w:szCs w:val="26"/>
        </w:rPr>
        <w:t>Перед оформлением акта необходимо уточнить причину отсутствия человека на рабочем месте, запросив у него </w:t>
      </w:r>
      <w:hyperlink r:id="rId6" w:history="1">
        <w:r w:rsidRPr="006E3119">
          <w:rPr>
            <w:rStyle w:val="a4"/>
            <w:color w:val="auto"/>
            <w:sz w:val="26"/>
            <w:szCs w:val="26"/>
            <w:u w:val="none"/>
          </w:rPr>
          <w:t>письменные объяснения</w:t>
        </w:r>
      </w:hyperlink>
      <w:r w:rsidRPr="006E3119">
        <w:rPr>
          <w:sz w:val="26"/>
          <w:szCs w:val="26"/>
        </w:rPr>
        <w:t>, и если он отсутствовал правомерно – составлять данный документ не нужно.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Лицо, ответственное за составление акта, должно понимать юридическую основу оформления прогулов. Тогда все претензии к провинившемуся сотруднику будут изложены в соответствии с законодательными нормами и условиями трудового договора. Без составления акта уволить нарушителя, или применить к нему иные меры воздействия, нельзя.</w:t>
      </w:r>
    </w:p>
    <w:p w:rsidR="006E3119" w:rsidRPr="006E3119" w:rsidRDefault="006E3119" w:rsidP="006E311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3119">
        <w:rPr>
          <w:rFonts w:ascii="Times New Roman" w:hAnsi="Times New Roman" w:cs="Times New Roman"/>
          <w:b w:val="0"/>
          <w:bCs w:val="0"/>
          <w:color w:val="auto"/>
        </w:rPr>
        <w:t>В каких случаях нужно составлять акт, а в каких – нет?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 xml:space="preserve">Акт о прогуле работника составляется в том случае, если им было допущено </w:t>
      </w:r>
      <w:proofErr w:type="gramStart"/>
      <w:r w:rsidRPr="006E3119">
        <w:rPr>
          <w:sz w:val="26"/>
          <w:szCs w:val="26"/>
        </w:rPr>
        <w:t>однократное грубое</w:t>
      </w:r>
      <w:proofErr w:type="gramEnd"/>
      <w:r w:rsidRPr="006E3119">
        <w:rPr>
          <w:sz w:val="26"/>
          <w:szCs w:val="26"/>
        </w:rPr>
        <w:t xml:space="preserve"> нарушение трудовой дисциплины. Определение прогула приведено в </w:t>
      </w:r>
      <w:proofErr w:type="spellStart"/>
      <w:r w:rsidRPr="006E3119">
        <w:rPr>
          <w:sz w:val="26"/>
          <w:szCs w:val="26"/>
        </w:rPr>
        <w:t>подп</w:t>
      </w:r>
      <w:proofErr w:type="spellEnd"/>
      <w:r w:rsidRPr="006E3119">
        <w:rPr>
          <w:sz w:val="26"/>
          <w:szCs w:val="26"/>
        </w:rPr>
        <w:t>. «а» п. 6 ст. 81 ТК РФ, к нему относится не только невыход на работу в течение всей смены или рабочего дня, но и отсутствие на рабочем месте более 4 часов подряд без уважительных причин.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В ряде случаев неявка на место работы не будет считаться прогулом. В ТК РФ не утвержден конкретный перечень таких случаев, их определяют, исходя из содержания отдельных статей ТК РФ и судебной практики. Так, акт о прогуле не составляется, если работник: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 xml:space="preserve">находился на </w:t>
      </w:r>
      <w:proofErr w:type="gramStart"/>
      <w:r w:rsidRPr="006E3119">
        <w:rPr>
          <w:sz w:val="26"/>
          <w:szCs w:val="26"/>
        </w:rPr>
        <w:t>больничном</w:t>
      </w:r>
      <w:proofErr w:type="gramEnd"/>
      <w:r w:rsidRPr="006E3119">
        <w:rPr>
          <w:sz w:val="26"/>
          <w:szCs w:val="26"/>
        </w:rPr>
        <w:t>, что подтверждается соответствующим документом;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сдавал кровь в качестве донора;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был привлечен к выполнению государственных обязанностей;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находился под арестом;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сдавал экзамены в образовательном учреждении;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стал жертвой чрезвычайных обстоятельств (отмена рейсов, авария в квартире, разгул стихии и пр.);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принимал участие в забастовке;</w:t>
      </w:r>
    </w:p>
    <w:p w:rsidR="006E3119" w:rsidRPr="006E3119" w:rsidRDefault="006E3119" w:rsidP="006E31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3119">
        <w:rPr>
          <w:sz w:val="26"/>
          <w:szCs w:val="26"/>
        </w:rPr>
        <w:t>своевременно не получил заработную плату (задержка составила более 15 дней) и прекратил ходить на работу, письменно предупредив об этом и т.п.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На основании различных норм законодательства, а также приведенных работником объяснений, документов, работодатель сам решает вопрос об уважительности причин неявки. Прогул нельзя оформить, когда есть свидетели того, что работодатель был заранее предупрежден сотрудником об отсутствии в устной форме.</w:t>
      </w:r>
    </w:p>
    <w:p w:rsidR="006E3119" w:rsidRDefault="006E3119" w:rsidP="006E311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3119">
        <w:rPr>
          <w:rFonts w:ascii="Times New Roman" w:hAnsi="Times New Roman" w:cs="Times New Roman"/>
          <w:b w:val="0"/>
          <w:bCs w:val="0"/>
          <w:color w:val="auto"/>
        </w:rPr>
        <w:t>Оформление акта о прогуле работника: важные моменты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Акт о прогуле </w:t>
      </w:r>
      <w:r w:rsidRPr="006E3119">
        <w:rPr>
          <w:sz w:val="26"/>
          <w:szCs w:val="26"/>
        </w:rPr>
        <w:t>не имеет унифицированной формы. Несмотря на это, он обязательно должен содержать ряд сведений, благодаря которым будет считаться действительным. К таким сведениям относится: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 xml:space="preserve">наименование </w:t>
      </w:r>
      <w:proofErr w:type="spellStart"/>
      <w:r w:rsidRPr="006E3119">
        <w:rPr>
          <w:sz w:val="26"/>
          <w:szCs w:val="26"/>
        </w:rPr>
        <w:t>юрлица</w:t>
      </w:r>
      <w:proofErr w:type="spellEnd"/>
      <w:r w:rsidRPr="006E3119">
        <w:rPr>
          <w:sz w:val="26"/>
          <w:szCs w:val="26"/>
        </w:rPr>
        <w:t>, в котором трудится работник, дата и время составления акта;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6E3119">
        <w:rPr>
          <w:sz w:val="26"/>
          <w:szCs w:val="26"/>
        </w:rPr>
        <w:t>состав комиссии;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продолжительность отсутствия на рабочем месте;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меры, которые работодатель предпринял для установления причин отсутствия;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объяснения сотрудника (письменные), которые он должен представить в течение 2-х рабочих дней после затребования их работодателем;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подпись сотрудника об ознакомлении.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 xml:space="preserve">Акт о прогуле может составить непосредственный начальник </w:t>
      </w:r>
      <w:proofErr w:type="gramStart"/>
      <w:r w:rsidRPr="006E3119">
        <w:rPr>
          <w:sz w:val="26"/>
          <w:szCs w:val="26"/>
        </w:rPr>
        <w:t>провинившегося</w:t>
      </w:r>
      <w:proofErr w:type="gramEnd"/>
      <w:r w:rsidRPr="006E3119">
        <w:rPr>
          <w:sz w:val="26"/>
          <w:szCs w:val="26"/>
        </w:rPr>
        <w:t>, кадровый специалист или иное должностное лицо. Очень важно, чтобы он оформлялся при участии других сотрудников, которые удостоверят факт невыхода на работу конкретного лица своими подписями. В состав такой комиссии нужно включить не менее двух человек.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Применить дисциплинарное взыскание за прогул можно в течение 1 месяца со дня обнаружения проступка (ст. 193 ТК РФ).</w:t>
      </w:r>
    </w:p>
    <w:p w:rsidR="006E3119" w:rsidRPr="006E3119" w:rsidRDefault="006E3119" w:rsidP="006E311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3119">
        <w:rPr>
          <w:rFonts w:ascii="Times New Roman" w:hAnsi="Times New Roman" w:cs="Times New Roman"/>
          <w:b w:val="0"/>
          <w:bCs w:val="0"/>
          <w:color w:val="auto"/>
        </w:rPr>
        <w:t>Рекомендации по составлению акта о прогуле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Документ может иметь следующую структуру: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В верхней части документа указывают название организации.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Ниже указывают дату составления акта, присвоенный ему номер, место и время составления.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Наименование документа – «Акт № __ об отсутствии на рабочем месте».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После этого перечисляют Ф.И.О. и должности сотрудников, вошедших в состав комиссии.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 w:rsidRPr="006E3119">
        <w:rPr>
          <w:sz w:val="26"/>
          <w:szCs w:val="26"/>
        </w:rPr>
        <w:t>Следующий этап – указание сведений о прогульщике (Ф.И.О. и занимаемая должность), даты и времени отсутствия на работе и причин отсутствия, указанных сотрудником в объяснительной записке (или указание на отказ от дачи объяснений).</w:t>
      </w:r>
      <w:proofErr w:type="gramEnd"/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Акт подписывают все члены комиссии и провинившийся сотрудник (указав дату подписания). Подписи обязательно должны быть с расшифровкой.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Работник, нарушивший трудовую дисциплину, своей подписью в акте подтверждает факт ознакомления с изложенными в нем сведениями и выражает свое согласие с ними.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Если провинившееся лицо отказывается подписывать данный акт, в нем ставят соответствующую отметку. Члены комиссии заверяют ее своими подписями. Когда у сотрудника есть возражения по поводу содержания акта, их также надо письменно зафиксировать.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В случае</w:t>
      </w:r>
      <w:proofErr w:type="gramStart"/>
      <w:r w:rsidRPr="006E3119">
        <w:rPr>
          <w:sz w:val="26"/>
          <w:szCs w:val="26"/>
        </w:rPr>
        <w:t>,</w:t>
      </w:r>
      <w:proofErr w:type="gramEnd"/>
      <w:r w:rsidRPr="006E3119">
        <w:rPr>
          <w:sz w:val="26"/>
          <w:szCs w:val="26"/>
        </w:rPr>
        <w:t xml:space="preserve"> если при составлении документа будут допущены нарушения, гражданин сможет в судебном порядке оспорить дисциплинарное взыскание. </w:t>
      </w:r>
      <w:r>
        <w:rPr>
          <w:sz w:val="26"/>
          <w:szCs w:val="26"/>
        </w:rPr>
        <w:tab/>
      </w:r>
      <w:r w:rsidRPr="006E3119">
        <w:rPr>
          <w:sz w:val="26"/>
          <w:szCs w:val="26"/>
        </w:rPr>
        <w:t>Среди основных ошибок следует выделить:</w:t>
      </w:r>
      <w:r>
        <w:rPr>
          <w:sz w:val="26"/>
          <w:szCs w:val="26"/>
        </w:rPr>
        <w:t xml:space="preserve"> 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отсутствие в акте данных о запросе объяснений, или о причинах неявки на работу, приведенных работником;</w:t>
      </w:r>
    </w:p>
    <w:p w:rsid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 xml:space="preserve">сотрудник </w:t>
      </w:r>
      <w:proofErr w:type="gramStart"/>
      <w:r w:rsidRPr="006E3119">
        <w:rPr>
          <w:sz w:val="26"/>
          <w:szCs w:val="26"/>
        </w:rPr>
        <w:t>предоставил работодателю оправдательные документы</w:t>
      </w:r>
      <w:proofErr w:type="gramEnd"/>
      <w:r w:rsidRPr="006E3119">
        <w:rPr>
          <w:sz w:val="26"/>
          <w:szCs w:val="26"/>
        </w:rPr>
        <w:t>, но они не отражены в акте;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E3119">
        <w:rPr>
          <w:sz w:val="26"/>
          <w:szCs w:val="26"/>
        </w:rPr>
        <w:t>сотрудник не был ознакомлен с актом.</w:t>
      </w:r>
    </w:p>
    <w:p w:rsidR="006E3119" w:rsidRPr="006E3119" w:rsidRDefault="006E3119" w:rsidP="006E311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3119">
        <w:rPr>
          <w:sz w:val="26"/>
          <w:szCs w:val="26"/>
        </w:rPr>
        <w:t>Если дело дойдет до увольнения и впоследствии сотрудник попытается </w:t>
      </w:r>
      <w:hyperlink r:id="rId7" w:history="1">
        <w:r w:rsidRPr="006E3119">
          <w:rPr>
            <w:rStyle w:val="a4"/>
            <w:color w:val="auto"/>
            <w:sz w:val="26"/>
            <w:szCs w:val="26"/>
            <w:u w:val="none"/>
          </w:rPr>
          <w:t>оспорить его в судебном порядке</w:t>
        </w:r>
      </w:hyperlink>
      <w:r w:rsidRPr="006E3119">
        <w:rPr>
          <w:sz w:val="26"/>
          <w:szCs w:val="26"/>
        </w:rPr>
        <w:t>, члены комиссии будут выступать в качестве свидетелей. Они подтвердят факт нарушения трудового распорядка сотрудником и правомерность действий руководства организации.</w:t>
      </w:r>
    </w:p>
    <w:sectPr w:rsidR="006E3119" w:rsidRPr="006E311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D01"/>
    <w:multiLevelType w:val="multilevel"/>
    <w:tmpl w:val="6526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C7AE4"/>
    <w:multiLevelType w:val="multilevel"/>
    <w:tmpl w:val="812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B0679"/>
    <w:multiLevelType w:val="multilevel"/>
    <w:tmpl w:val="B13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24E82"/>
    <w:multiLevelType w:val="multilevel"/>
    <w:tmpl w:val="216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19"/>
    <w:rsid w:val="0013710E"/>
    <w:rsid w:val="006E3119"/>
    <w:rsid w:val="009B7350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6E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1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sudebnyy-poryadok-razresheniya-individualnyh-trudovyh-spo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kak-pisat-obyasnitelnuyu-na-rabote" TargetMode="External"/><Relationship Id="rId5" Type="http://schemas.openxmlformats.org/officeDocument/2006/relationships/hyperlink" Target="https://spmag.ru/articles/prikaz-o-disciplinarnom-vzyskanii-za-progul-obraz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2020-01-22T05:44:00Z</dcterms:created>
  <dcterms:modified xsi:type="dcterms:W3CDTF">2020-01-22T05:44:00Z</dcterms:modified>
</cp:coreProperties>
</file>