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B8" w:rsidRPr="007F3CB8" w:rsidRDefault="007F3CB8" w:rsidP="007F3CB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F3C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Увольнение пенсионера по инициативе работодателя</w:t>
      </w:r>
    </w:p>
    <w:p w:rsidR="00C87022" w:rsidRDefault="007F3CB8" w:rsidP="007F3C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7F3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Увольнение с работы пенсионера по инициативе работодателя в советское время было обычной практикой. Если руководство решало, что предприятию не нужны «старые» кадры, оно могло беспрепятственно </w:t>
      </w:r>
      <w:proofErr w:type="gramStart"/>
      <w:r w:rsidRPr="007F3CB8">
        <w:rPr>
          <w:rFonts w:ascii="Times New Roman" w:hAnsi="Times New Roman" w:cs="Times New Roman"/>
          <w:sz w:val="26"/>
          <w:szCs w:val="26"/>
          <w:shd w:val="clear" w:color="auto" w:fill="FFFFFF"/>
        </w:rPr>
        <w:t>выпроводить</w:t>
      </w:r>
      <w:proofErr w:type="gramEnd"/>
      <w:r w:rsidRPr="007F3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их на пенсию, как только появлялось право для ее назначения. Согласия сотрудника на увольнение не требовалось. Однако, с 1992 года пункт 1.1. ст.33 КЗОТ (Кодекса законов о труде), позволяющий это делать, утратил силу (закон РФ № 2502-1 от 12.03.1992). А спустя 10 лет упразднили и сам правовой акт – ему на смену пришел Трудовой кодекс РФ, который действует с 1-го февраля 2002 года. </w:t>
      </w:r>
    </w:p>
    <w:p w:rsidR="007F3CB8" w:rsidRPr="007F3CB8" w:rsidRDefault="007F3CB8" w:rsidP="007F3CB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F3CB8">
        <w:rPr>
          <w:rFonts w:ascii="Times New Roman" w:hAnsi="Times New Roman" w:cs="Times New Roman"/>
          <w:b w:val="0"/>
          <w:bCs w:val="0"/>
          <w:color w:val="auto"/>
        </w:rPr>
        <w:t>Возможно ли увольнение работающего пенсионера по инициативе работодателя</w:t>
      </w:r>
    </w:p>
    <w:p w:rsidR="007F3CB8" w:rsidRPr="007F3CB8" w:rsidRDefault="007F3CB8" w:rsidP="007F3C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hyperlink r:id="rId5" w:history="1">
        <w:r w:rsidRPr="007F3CB8">
          <w:rPr>
            <w:rStyle w:val="a4"/>
            <w:rFonts w:eastAsiaTheme="majorEastAsia"/>
            <w:color w:val="auto"/>
            <w:sz w:val="26"/>
            <w:szCs w:val="26"/>
            <w:u w:val="none"/>
          </w:rPr>
          <w:t>Работодатели по собственной инициативе</w:t>
        </w:r>
      </w:hyperlink>
      <w:r w:rsidRPr="007F3CB8">
        <w:rPr>
          <w:sz w:val="26"/>
          <w:szCs w:val="26"/>
        </w:rPr>
        <w:t> увольняют подчиненных на основании ст.81 Трудового кодекса РФ (сокращенно – ТК РФ). В арсенале руководства компании есть около 20 законных поводов для прекращения договора с работником, в том числе, пенсионного возраста. Увольнение любого сотрудника работодателем должно быть связано с его деловыми качествами, производственной необходимостью и другими обстоятельствами, не имеющими отношения к личным характеристикам – возрасту, расе, принадлежности к социальной группе, религии и т.д. (ч. 2 ст.3 ТК РФ).</w:t>
      </w:r>
    </w:p>
    <w:p w:rsidR="007F3CB8" w:rsidRPr="007F3CB8" w:rsidRDefault="007F3CB8" w:rsidP="007F3C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F3CB8">
        <w:rPr>
          <w:sz w:val="26"/>
          <w:szCs w:val="26"/>
        </w:rPr>
        <w:t>Прекращение трудового контракта с работником-пенсионером по инициативе работодателя осуществляется по общим основаниям, указанным в ст. 81 ТК РФ (дополнительные основания для увольнения сотрудника, занимающего должность руководителя организации, перечислены в ст. 278 ТК РФ). В частности, увольнение пенсионера по инициативе работодателя возможно по следующим основаниям:</w:t>
      </w:r>
    </w:p>
    <w:p w:rsidR="007F3CB8" w:rsidRPr="007F3CB8" w:rsidRDefault="007F3CB8" w:rsidP="007F3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6" w:history="1">
        <w:r w:rsidRPr="007F3CB8">
          <w:rPr>
            <w:rStyle w:val="a4"/>
            <w:rFonts w:eastAsiaTheme="majorEastAsia"/>
            <w:color w:val="auto"/>
            <w:sz w:val="26"/>
            <w:szCs w:val="26"/>
            <w:u w:val="none"/>
          </w:rPr>
          <w:t>сокращение штата</w:t>
        </w:r>
      </w:hyperlink>
      <w:r w:rsidRPr="007F3CB8">
        <w:rPr>
          <w:sz w:val="26"/>
          <w:szCs w:val="26"/>
        </w:rPr>
        <w:t> (согласно ст. 179 ТК, на оставление в штате имеют право работники более высокой квалификации и производительности труда, возраст не может быть основанием для попадания в список сокращаемого персонала, но и не дает преимущества пенсионерам);</w:t>
      </w:r>
    </w:p>
    <w:p w:rsidR="007F3CB8" w:rsidRPr="007F3CB8" w:rsidRDefault="007F3CB8" w:rsidP="007F3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7" w:history="1">
        <w:r w:rsidRPr="007F3CB8">
          <w:rPr>
            <w:rStyle w:val="a4"/>
            <w:rFonts w:eastAsiaTheme="majorEastAsia"/>
            <w:color w:val="auto"/>
            <w:sz w:val="26"/>
            <w:szCs w:val="26"/>
            <w:u w:val="none"/>
          </w:rPr>
          <w:t>ликвидация предприятия</w:t>
        </w:r>
      </w:hyperlink>
      <w:r w:rsidRPr="007F3CB8">
        <w:rPr>
          <w:sz w:val="26"/>
          <w:szCs w:val="26"/>
        </w:rPr>
        <w:t>;</w:t>
      </w:r>
    </w:p>
    <w:p w:rsidR="007F3CB8" w:rsidRPr="007F3CB8" w:rsidRDefault="007F3CB8" w:rsidP="007F3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3CB8">
        <w:rPr>
          <w:sz w:val="26"/>
          <w:szCs w:val="26"/>
        </w:rPr>
        <w:t>грубое нарушение работником-руководителем (заместителем руководителя) возложенных на него трудовых обязанностей (нарушение оценивается как грубое, в т.ч. если оно могло нанести имущественный ущерб работодателю или причинить вред здоровью других работников - Постановление Пленума Верховного Суда РФ № 2 от 17.03.2004, п.49);</w:t>
      </w:r>
    </w:p>
    <w:p w:rsidR="007F3CB8" w:rsidRPr="007F3CB8" w:rsidRDefault="007F3CB8" w:rsidP="007F3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8" w:history="1">
        <w:r w:rsidRPr="007F3CB8">
          <w:rPr>
            <w:rStyle w:val="a4"/>
            <w:rFonts w:eastAsiaTheme="majorEastAsia"/>
            <w:color w:val="auto"/>
            <w:sz w:val="26"/>
            <w:szCs w:val="26"/>
            <w:u w:val="none"/>
          </w:rPr>
          <w:t>несоответствие сотрудника занимаемой должности</w:t>
        </w:r>
      </w:hyperlink>
      <w:r w:rsidRPr="007F3CB8">
        <w:rPr>
          <w:sz w:val="26"/>
          <w:szCs w:val="26"/>
        </w:rPr>
        <w:t> (работодатели нередко грозят аттестацией, чтобы «надавить» на пожилого работника, и заставить его уволиться по собственному желанию);</w:t>
      </w:r>
    </w:p>
    <w:p w:rsidR="007F3CB8" w:rsidRPr="007F3CB8" w:rsidRDefault="007F3CB8" w:rsidP="007F3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3CB8">
        <w:rPr>
          <w:sz w:val="26"/>
          <w:szCs w:val="26"/>
        </w:rPr>
        <w:t>совершение </w:t>
      </w:r>
      <w:hyperlink r:id="rId9" w:history="1">
        <w:r w:rsidRPr="007F3CB8">
          <w:rPr>
            <w:rStyle w:val="a4"/>
            <w:rFonts w:eastAsiaTheme="majorEastAsia"/>
            <w:color w:val="auto"/>
            <w:sz w:val="26"/>
            <w:szCs w:val="26"/>
            <w:u w:val="none"/>
          </w:rPr>
          <w:t>прогула</w:t>
        </w:r>
      </w:hyperlink>
      <w:r w:rsidRPr="007F3CB8">
        <w:rPr>
          <w:sz w:val="26"/>
          <w:szCs w:val="26"/>
        </w:rPr>
        <w:t> (под ним понимается отсутствие на рабочем месте более четырех часов подряд);</w:t>
      </w:r>
    </w:p>
    <w:p w:rsidR="007F3CB8" w:rsidRPr="007F3CB8" w:rsidRDefault="007F3CB8" w:rsidP="007F3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0" w:history="1">
        <w:r w:rsidRPr="007F3CB8">
          <w:rPr>
            <w:rStyle w:val="a4"/>
            <w:rFonts w:eastAsiaTheme="majorEastAsia"/>
            <w:color w:val="auto"/>
            <w:sz w:val="26"/>
            <w:szCs w:val="26"/>
            <w:u w:val="none"/>
          </w:rPr>
          <w:t>утрата доверия руководства</w:t>
        </w:r>
      </w:hyperlink>
      <w:r w:rsidRPr="007F3CB8">
        <w:rPr>
          <w:sz w:val="26"/>
          <w:szCs w:val="26"/>
        </w:rPr>
        <w:t> (касается чиновников и материально-ответственных лиц, причем, корыстные незаконные деяния, повлекшие утрату доверия, могут быть совершены ими не только по месту работы – Постановление Пленума Верховного Суда РФ № 2 от 17.03.2004, п.45);</w:t>
      </w:r>
    </w:p>
    <w:p w:rsidR="007F3CB8" w:rsidRPr="007F3CB8" w:rsidRDefault="007F3CB8" w:rsidP="007F3C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3CB8">
        <w:rPr>
          <w:sz w:val="26"/>
          <w:szCs w:val="26"/>
        </w:rPr>
        <w:t>появление на работе в нетрезвом виде, и т.д.</w:t>
      </w:r>
    </w:p>
    <w:p w:rsidR="007F3CB8" w:rsidRPr="007F3CB8" w:rsidRDefault="007F3CB8" w:rsidP="007F3C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F3CB8">
        <w:rPr>
          <w:sz w:val="26"/>
          <w:szCs w:val="26"/>
        </w:rPr>
        <w:t xml:space="preserve">То есть, увольнение пенсионера по инициативе работодателя Трудовой кодекс РФ разрешает наравне с другими, однако основанием расторжения договора </w:t>
      </w:r>
      <w:r w:rsidRPr="007F3CB8">
        <w:rPr>
          <w:sz w:val="26"/>
          <w:szCs w:val="26"/>
        </w:rPr>
        <w:lastRenderedPageBreak/>
        <w:t>с сотрудником не может являться достижение им пенсионного возраста, так как это считается дискриминацией работника и нарушением его конституционных прав (ст.37 Конституции России).</w:t>
      </w:r>
    </w:p>
    <w:p w:rsidR="007F3CB8" w:rsidRPr="007F3CB8" w:rsidRDefault="007F3CB8" w:rsidP="007F3C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F3CB8">
        <w:rPr>
          <w:sz w:val="26"/>
          <w:szCs w:val="26"/>
        </w:rPr>
        <w:t>Подобные действия руководства гражданин вправе обжаловать в судебной инстанции. Но для вынесения решения в его пользу у истца должны иметься убедительные доказательства, что он был уволен именно по причине пенсионного возраста. Найти и предъявить их в суде непросто, так как работодатель обычно не указывает истинную причину увольнения, предпочитая найти иные основания для избавления от возрастного сотрудника.</w:t>
      </w:r>
    </w:p>
    <w:p w:rsidR="007F3CB8" w:rsidRPr="007F3CB8" w:rsidRDefault="007F3CB8" w:rsidP="007F3CB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F3CB8">
        <w:rPr>
          <w:rFonts w:ascii="Times New Roman" w:hAnsi="Times New Roman" w:cs="Times New Roman"/>
          <w:b w:val="0"/>
          <w:bCs w:val="0"/>
          <w:color w:val="auto"/>
        </w:rPr>
        <w:t>Порядок увольнения пенсионера по инициативе работодателя</w:t>
      </w:r>
    </w:p>
    <w:p w:rsidR="007F3CB8" w:rsidRPr="007F3CB8" w:rsidRDefault="007F3CB8" w:rsidP="007F3C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F3CB8">
        <w:rPr>
          <w:sz w:val="26"/>
          <w:szCs w:val="26"/>
        </w:rPr>
        <w:t>Работника-пенсионера работодатель увольняет по стандартным правилам. Детали процедуры зависят от конкретного основания, по которому принято решение о расторжении трудового договора. Например, если сотрудника увольняют по его вине (прогул, алкогольное опьянение и т.п.), необходимо составить </w:t>
      </w:r>
      <w:hyperlink r:id="rId11" w:history="1">
        <w:r w:rsidRPr="007F3CB8">
          <w:rPr>
            <w:rStyle w:val="a4"/>
            <w:color w:val="auto"/>
            <w:sz w:val="26"/>
            <w:szCs w:val="26"/>
            <w:u w:val="none"/>
          </w:rPr>
          <w:t>акт</w:t>
        </w:r>
      </w:hyperlink>
      <w:r w:rsidRPr="007F3CB8">
        <w:rPr>
          <w:sz w:val="26"/>
          <w:szCs w:val="26"/>
        </w:rPr>
        <w:t>, где фиксируется нарушение трудового законодательства, а с работника требуется </w:t>
      </w:r>
      <w:hyperlink r:id="rId12" w:history="1">
        <w:r w:rsidRPr="007F3CB8">
          <w:rPr>
            <w:rStyle w:val="a4"/>
            <w:color w:val="auto"/>
            <w:sz w:val="26"/>
            <w:szCs w:val="26"/>
            <w:u w:val="none"/>
          </w:rPr>
          <w:t>объяснительная записка</w:t>
        </w:r>
      </w:hyperlink>
      <w:r w:rsidRPr="007F3CB8">
        <w:rPr>
          <w:sz w:val="26"/>
          <w:szCs w:val="26"/>
        </w:rPr>
        <w:t>.</w:t>
      </w:r>
    </w:p>
    <w:p w:rsidR="007F3CB8" w:rsidRPr="007F3CB8" w:rsidRDefault="007F3CB8" w:rsidP="007F3C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F3CB8">
        <w:rPr>
          <w:sz w:val="26"/>
          <w:szCs w:val="26"/>
        </w:rPr>
        <w:t>Общая процедура увольнения по инициативе руководства такова (ст.84.1 ТК РФ):</w:t>
      </w:r>
    </w:p>
    <w:p w:rsidR="007F3CB8" w:rsidRPr="007F3CB8" w:rsidRDefault="007F3CB8" w:rsidP="007F3C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3CB8">
        <w:rPr>
          <w:sz w:val="26"/>
          <w:szCs w:val="26"/>
        </w:rPr>
        <w:t>Издается </w:t>
      </w:r>
      <w:hyperlink r:id="rId13" w:history="1">
        <w:r w:rsidRPr="007F3CB8">
          <w:rPr>
            <w:rStyle w:val="a4"/>
            <w:color w:val="auto"/>
            <w:sz w:val="26"/>
            <w:szCs w:val="26"/>
            <w:u w:val="none"/>
          </w:rPr>
          <w:t>приказ</w:t>
        </w:r>
      </w:hyperlink>
      <w:r w:rsidRPr="007F3CB8">
        <w:rPr>
          <w:sz w:val="26"/>
          <w:szCs w:val="26"/>
        </w:rPr>
        <w:t> о расторжении трудового договора с сотрудником. В нем указывается основание для увольнения.</w:t>
      </w:r>
    </w:p>
    <w:p w:rsidR="007F3CB8" w:rsidRPr="007F3CB8" w:rsidRDefault="007F3CB8" w:rsidP="007F3C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3CB8">
        <w:rPr>
          <w:sz w:val="26"/>
          <w:szCs w:val="26"/>
        </w:rPr>
        <w:t>Работник знакомится с приказом начальства под роспись. По его просьбе работодатель обязан выдать заверенную копию документа.</w:t>
      </w:r>
    </w:p>
    <w:p w:rsidR="007F3CB8" w:rsidRPr="007F3CB8" w:rsidRDefault="007F3CB8" w:rsidP="007F3C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3CB8">
        <w:rPr>
          <w:sz w:val="26"/>
          <w:szCs w:val="26"/>
        </w:rPr>
        <w:t>Записи об увольнении вносятся в учетную документацию работодателя.</w:t>
      </w:r>
    </w:p>
    <w:p w:rsidR="007F3CB8" w:rsidRPr="007F3CB8" w:rsidRDefault="007F3CB8" w:rsidP="007F3C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3CB8">
        <w:rPr>
          <w:sz w:val="26"/>
          <w:szCs w:val="26"/>
        </w:rPr>
        <w:t>В день увольнения:</w:t>
      </w:r>
    </w:p>
    <w:p w:rsidR="007F3CB8" w:rsidRPr="007F3CB8" w:rsidRDefault="007F3CB8" w:rsidP="007F3CB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3CB8">
        <w:rPr>
          <w:sz w:val="26"/>
          <w:szCs w:val="26"/>
        </w:rPr>
        <w:t>производится полный расчет с работником (ст.140 ТК РФ);</w:t>
      </w:r>
    </w:p>
    <w:p w:rsidR="007F3CB8" w:rsidRPr="007F3CB8" w:rsidRDefault="007F3CB8" w:rsidP="007F3CB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3CB8">
        <w:rPr>
          <w:sz w:val="26"/>
          <w:szCs w:val="26"/>
        </w:rPr>
        <w:t>ему </w:t>
      </w:r>
      <w:hyperlink r:id="rId14" w:history="1">
        <w:r w:rsidRPr="007F3CB8">
          <w:rPr>
            <w:rStyle w:val="a4"/>
            <w:color w:val="auto"/>
            <w:sz w:val="26"/>
            <w:szCs w:val="26"/>
            <w:u w:val="none"/>
          </w:rPr>
          <w:t>выдается</w:t>
        </w:r>
      </w:hyperlink>
      <w:r w:rsidRPr="007F3CB8">
        <w:rPr>
          <w:sz w:val="26"/>
          <w:szCs w:val="26"/>
        </w:rPr>
        <w:t> трудовая книжка, справка 2-НДФЛ, справка о заработке за последние два года, а также сведения о перечисленных за него пенсионных страховых взносах.</w:t>
      </w:r>
    </w:p>
    <w:p w:rsidR="007F3CB8" w:rsidRPr="007F3CB8" w:rsidRDefault="007F3CB8" w:rsidP="007F3CB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7F3CB8">
        <w:rPr>
          <w:sz w:val="26"/>
          <w:szCs w:val="26"/>
        </w:rPr>
        <w:t>Трудовой кодекс запрещает увольнять подчиненных по инициативе руководства, если они находятся в </w:t>
      </w:r>
      <w:hyperlink r:id="rId15" w:history="1">
        <w:r w:rsidRPr="007F3CB8">
          <w:rPr>
            <w:rStyle w:val="a4"/>
            <w:color w:val="auto"/>
            <w:sz w:val="26"/>
            <w:szCs w:val="26"/>
            <w:u w:val="none"/>
          </w:rPr>
          <w:t>отпуске</w:t>
        </w:r>
      </w:hyperlink>
      <w:r w:rsidRPr="007F3CB8">
        <w:rPr>
          <w:sz w:val="26"/>
          <w:szCs w:val="26"/>
        </w:rPr>
        <w:t> или на больничном (ст.81 ТК РФ).</w:t>
      </w:r>
      <w:proofErr w:type="gramEnd"/>
    </w:p>
    <w:p w:rsidR="007F3CB8" w:rsidRPr="007F3CB8" w:rsidRDefault="007F3CB8" w:rsidP="007F3C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F3CB8" w:rsidRPr="007F3CB8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74E8"/>
    <w:multiLevelType w:val="multilevel"/>
    <w:tmpl w:val="3C7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370D5"/>
    <w:multiLevelType w:val="multilevel"/>
    <w:tmpl w:val="F832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B8"/>
    <w:rsid w:val="0013710E"/>
    <w:rsid w:val="00687B19"/>
    <w:rsid w:val="007F3CB8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7F3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3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F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nesootvetstvie-zanimaemoy-dolzhnosti" TargetMode="External"/><Relationship Id="rId13" Type="http://schemas.openxmlformats.org/officeDocument/2006/relationships/hyperlink" Target="https://spmag.ru/articles/unificirovannaya-forma-t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uvolnenie-pri-likvidacii-predpriyatiya" TargetMode="External"/><Relationship Id="rId12" Type="http://schemas.openxmlformats.org/officeDocument/2006/relationships/hyperlink" Target="https://spmag.ru/articles/obyasnitelnaya-na-rabot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uvolnenie-pensionera-po-sokrashcheniyu-shtatov" TargetMode="External"/><Relationship Id="rId11" Type="http://schemas.openxmlformats.org/officeDocument/2006/relationships/hyperlink" Target="https://spmag.ru/articles/sluzhebnoe-rassledovanie-v-otnoshenii-rabotnika-obrazec" TargetMode="External"/><Relationship Id="rId5" Type="http://schemas.openxmlformats.org/officeDocument/2006/relationships/hyperlink" Target="https://spmag.ru/articles/rastorzhenie-trudovogo-dogovora-po-iniciative-rabotodatelya-kogda-dopuskaetsya" TargetMode="External"/><Relationship Id="rId15" Type="http://schemas.openxmlformats.org/officeDocument/2006/relationships/hyperlink" Target="https://spmag.ru/articles/mogut-li-uvolit-v-otpuske" TargetMode="External"/><Relationship Id="rId10" Type="http://schemas.openxmlformats.org/officeDocument/2006/relationships/hyperlink" Target="https://spmag.ru/articles/uvolnenie-po-utrate-dover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uvolnenie-za-progul-poshagovaya-procedura" TargetMode="External"/><Relationship Id="rId14" Type="http://schemas.openxmlformats.org/officeDocument/2006/relationships/hyperlink" Target="https://spmag.ru/articles/dokumenty-pri-uvolnenii-kotorye-obyazan-vydat-rabotodatel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2019-10-30T04:08:00Z</dcterms:created>
  <dcterms:modified xsi:type="dcterms:W3CDTF">2019-10-30T04:08:00Z</dcterms:modified>
</cp:coreProperties>
</file>