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E4" w:rsidRPr="00146CB7" w:rsidRDefault="00282EE4" w:rsidP="00D459BA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146CB7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«Какие нарушения по охране труда чаще всего допускают </w:t>
      </w:r>
    </w:p>
    <w:p w:rsidR="00282EE4" w:rsidRPr="00146CB7" w:rsidRDefault="00282EE4" w:rsidP="00D459BA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146CB7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работодатели и как их исправить»</w:t>
      </w:r>
    </w:p>
    <w:p w:rsidR="00282EE4" w:rsidRPr="00146CB7" w:rsidRDefault="00282EE4" w:rsidP="00D459BA">
      <w:pPr>
        <w:shd w:val="clear" w:color="auto" w:fill="FFFFFF"/>
        <w:spacing w:after="0" w:line="450" w:lineRule="atLeast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282EE4" w:rsidRPr="00D459BA" w:rsidRDefault="00282EE4" w:rsidP="00D459BA">
      <w:pPr>
        <w:shd w:val="clear" w:color="auto" w:fill="FFFFFF"/>
        <w:spacing w:after="0" w:line="45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282EE4" w:rsidRPr="00D459BA" w:rsidRDefault="00282EE4" w:rsidP="00D459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  <w:t>Нарушение 1. Не создана служба охраны труда, нет специалиста по охране труда</w:t>
      </w:r>
    </w:p>
    <w:p w:rsidR="00282EE4" w:rsidRPr="00D459BA" w:rsidRDefault="00282EE4" w:rsidP="00D459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Трудовое законодательство предоставляет работодателю возможность самостоятельно определять структуру и численность сотрудников службы охраны труда. При этом в организации, количество работников которой превышает 50 человек, обязательно должна быть создана такая служба или введена должность специалиста по охране труда.</w:t>
      </w: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Если сотрудников менее 50, работодатель принимает решение о создании службы или введении должности с учетом специфики своей производственной деятельности (ст. 217 ТК РФ). В этом случае для выполнения функций специалиста по охране труда можно привлечь исполнителя на основании гражданс</w:t>
      </w:r>
      <w:r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ко-правового договора (ч. 3</w:t>
      </w: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 xml:space="preserve"> ст. 217 ТК РФ). Осуществление функции службы охраны труда или специалиста по охране труда организации, численность работников которой не превышает 50 человек, входит в Перечень услуг в области охраны труда, для оказания которых необходима аккредитация (Приложение № 1 к приказу Минздравсоцразвития России от 1 апреля 2010 г. № 205н).</w:t>
      </w:r>
    </w:p>
    <w:p w:rsidR="00282EE4" w:rsidRPr="00D459BA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Pr="00146CB7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  <w:r w:rsidRPr="00146CB7"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  <w:t>Внимание!</w:t>
      </w: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Инструктажи по охране труда может проводить работник, прошедший специальное обучение (п. 2.3.2 Порядка, утвержденного постановлением Минтруда России, Минобразования России от 13 января 2003 г. № 1/29)</w:t>
      </w:r>
      <w:r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.</w:t>
      </w: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Часть первая статьи 217 Трудового кодекса указывает, что служба охраны труда (должность специалиста по охране труда) создается в организациях, ведущих производственную деятельность. Из этого можно сделать неправильный вывод, что речь идет только о компаниях, занимающихся выпуском продукции. Однако Трудовой кодекс относит к производственной деятельности еще и оказание различных видов услуг (ст. 209 ТК РФ).</w:t>
      </w:r>
    </w:p>
    <w:p w:rsidR="00282EE4" w:rsidRPr="00D459BA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Pr="00146CB7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146CB7"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  <w:t>Как исправить.</w:t>
      </w:r>
      <w:r w:rsidRPr="00146CB7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 </w:t>
      </w:r>
    </w:p>
    <w:p w:rsidR="00282EE4" w:rsidRPr="00D459BA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Чтобы контролировать выполнение требований охраны труда, работодатель может принять ряд мер. Введите в штатное расписание соответствующие единицы или заключите гражданско-правовой договор на оказание услуг в области охраны труда.</w:t>
      </w:r>
    </w:p>
    <w:p w:rsidR="00282EE4" w:rsidRPr="00D459BA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282EE4" w:rsidRPr="00146CB7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  <w:r w:rsidRPr="00146CB7"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  <w:t>Нарушение 2. Не проводится инструктаж по охране труда и технике безопасности</w:t>
      </w: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Закон запрещает работодателю допускать к работе сотрудника, не прошедшего обучение и инструктаж по охране труда, проверку знаний требовани</w:t>
      </w:r>
      <w:r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й охраны труда (абз. 9 ч. 2</w:t>
      </w: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 xml:space="preserve"> ст. 212 ТК РФ). Порядок прохождения такого обучения и инструктажа утвержден постановлением Минтруда России, Минобразования России от 13 января 2003 г. № 1/29.</w:t>
      </w:r>
    </w:p>
    <w:p w:rsidR="00282EE4" w:rsidRPr="00D459BA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Pr="00146CB7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146CB7"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  <w:t>Как исправить.</w:t>
      </w:r>
      <w:r w:rsidRPr="00146CB7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 </w:t>
      </w:r>
    </w:p>
    <w:p w:rsidR="00282EE4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Организуйте обучение и проверку знаний требований охраны труда в отношении всех сотрудников организации, в том числе ее руководителя. Инструктаж проводите как при приеме сотрудников на работу, так и при переводе. Кроме того, инструктажи по охране труда нужно проводить для работников, командированных в организацию; для сотрудников сторонних организаций, выполняющих работы на выделенном участке; для других лиц, участвующих в производственной деятельности компании. По характеру и времени проведения инструктажи по охране труда подразделяются на вводный, первичный на рабочем месте, повторный, внеплановый, целевой.</w:t>
      </w:r>
    </w:p>
    <w:p w:rsidR="00282EE4" w:rsidRPr="00D459BA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Pr="00D459BA" w:rsidRDefault="00282EE4" w:rsidP="00D459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  <w:t>Нарушение 3. Сотрудники не обеспечиваются средствами индивидуальной защиты</w:t>
      </w:r>
    </w:p>
    <w:p w:rsidR="00282EE4" w:rsidRPr="00D459BA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Pr="00146CB7" w:rsidRDefault="00282EE4" w:rsidP="00D459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146CB7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 xml:space="preserve">Под средствами индивидуальной защиты (далее – СИЗ) понимаются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 (ч. 7 ст. 209 ТК РФ). </w:t>
      </w:r>
    </w:p>
    <w:p w:rsidR="00282EE4" w:rsidRPr="00146CB7" w:rsidRDefault="00282EE4" w:rsidP="00D459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146CB7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 xml:space="preserve">СИЗ подразделяются на следующие классы: </w:t>
      </w:r>
    </w:p>
    <w:p w:rsidR="00282EE4" w:rsidRPr="00146CB7" w:rsidRDefault="00282EE4" w:rsidP="00D459BA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146CB7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 xml:space="preserve">костюмы изолирующие, </w:t>
      </w:r>
    </w:p>
    <w:p w:rsidR="00282EE4" w:rsidRPr="00146CB7" w:rsidRDefault="00282EE4" w:rsidP="00D459BA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146CB7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 xml:space="preserve">средства защиты органов дыхания, </w:t>
      </w:r>
    </w:p>
    <w:p w:rsidR="00282EE4" w:rsidRPr="00146CB7" w:rsidRDefault="00282EE4" w:rsidP="00D459BA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146CB7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 xml:space="preserve">одежда специальная защитная, </w:t>
      </w:r>
    </w:p>
    <w:p w:rsidR="00282EE4" w:rsidRPr="00146CB7" w:rsidRDefault="00282EE4" w:rsidP="00D459BA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146CB7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 xml:space="preserve">средства защиты ног, </w:t>
      </w:r>
    </w:p>
    <w:p w:rsidR="00282EE4" w:rsidRDefault="00282EE4" w:rsidP="00D459BA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146CB7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средства защиты рук и т. д.</w:t>
      </w:r>
    </w:p>
    <w:p w:rsidR="00282EE4" w:rsidRPr="00146CB7" w:rsidRDefault="00282EE4" w:rsidP="00146CB7">
      <w:p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  <w:t>Как исправить.</w:t>
      </w: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 </w:t>
      </w:r>
    </w:p>
    <w:p w:rsidR="00282EE4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За свой счет обеспечьте СИЗ сотрудников, занятых на работах с вредными или опасными условиями труда, а также выполняемых в особых температурных условиях или связанных с загрязнением. Выдавайте СИЗ в соответствии с типовыми нормами в порядке, установленном органами государственной власти. Можно в локальных актах предусмотреть нормы бесплатной выдачи СИЗ, улучшающие защиту сотрудников.</w:t>
      </w:r>
    </w:p>
    <w:p w:rsidR="00282EE4" w:rsidRPr="00D459BA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  <w:t>Нарушение 4. Не проведена специальная оценка условий труда (аттестация рабочих мест)</w:t>
      </w:r>
    </w:p>
    <w:p w:rsidR="00282EE4" w:rsidRPr="00D459BA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Обязанность по проведению спецоценки возложена на работодателей с 1 января 2014 года. Однако ее проведение стало возможным лишь с 8 апреля 2014 года – после вступления в силу приказа Минтруда России от 24 января 2014 г. № 33н.</w:t>
      </w: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Спецоценка не проводится в отношении рабочих мест надомников, дистанционных сотрудников и тех, кто трудится у физических лиц, не являющихся индивидуальными предпринимателями (ч. 3 ст. 3 Закона № 426-ФЗ). Для других рабочих мест проведение спецоценки обязательно. В отношении аттестованных рабочих мест спецоценка может не проводиться в течение пяти лет со дня завершения аттестации, за исключением случаев проведения внеплановой специальной оценки (ч. 4 ст. 27 Закона № 426-ФЗ).</w:t>
      </w:r>
    </w:p>
    <w:p w:rsidR="00282EE4" w:rsidRPr="00D459BA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  <w:t>Как исправить.</w:t>
      </w: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 </w:t>
      </w:r>
    </w:p>
    <w:p w:rsidR="00282EE4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С 8 апреля 2014 года работодателям необходимо обеспечить проведение специальной оценки рабочих мест по условиям труда, если аттестация рабочих мест ранее не проводилась. Создайте комиссию по проведению спецоценки и заключите гражданско-правовой договор со сторонней организацией, которая специализируется на ее проведении (ст. 8, 9 Закона № 426-ФЗ).</w:t>
      </w:r>
    </w:p>
    <w:p w:rsidR="00282EE4" w:rsidRPr="00D459BA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  <w:t>Совет</w:t>
      </w: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Обязательно включайте информацию об условиях труда на рабочем месте в текст трудовых договоров (ст. 57 ТК РФ)</w:t>
      </w: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Результаты специальной оценки условий труда проводящая ее организация отразит в отчете (ч. 1 ст. 15 Закона № 426-ФЗ). Ознакомьте сотрудников с результатами спецоценки под роспись не позднее чем через 30 календарных дней со дня утверждения отчета (ч. 5 ст. 15 Закона № 426-ФЗ).</w:t>
      </w:r>
    </w:p>
    <w:p w:rsidR="00282EE4" w:rsidRPr="00D459BA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  <w:t>Нарушение 5. Не проводятся обязательные медицинские осмотры</w:t>
      </w:r>
    </w:p>
    <w:p w:rsidR="00282EE4" w:rsidRPr="00D459BA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Статьей 213 Трудового кодекса определены основные категории работников, которые проходят обязательные предварительные и периодические (для сотрудников в возрасте до 21 года – ежегодные) медицинские осмотры. К ним относятся лица, занятые на работах с вредными или опасными условиями труда, а также на работах, связанных с движением транспорта. В отношении них медосмотры проводятся, чтобы определить пригодность сотрудников для выполнения поручаемой работы и предупреждения профессиональных заболеваний.</w:t>
      </w:r>
    </w:p>
    <w:p w:rsidR="00282EE4" w:rsidRPr="00D459BA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  <w:t>Внимание!</w:t>
      </w:r>
      <w:r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  <w:t xml:space="preserve"> </w:t>
      </w: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Медицинская справка о допуске к управлению транспортными средствами не может подменять собой медицинский осмотр при приеме на работу</w:t>
      </w:r>
    </w:p>
    <w:p w:rsidR="00282EE4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Кроме того, обязательные медосмотры проходят работники организаций пищевой промышленности, общественного питания и торговли, водопроводных сооружений, медицинских организаций. В этом случае целью прохождения медосмотра является охрана здоровья населения.</w:t>
      </w:r>
    </w:p>
    <w:p w:rsidR="00282EE4" w:rsidRPr="00D459BA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  <w:t>Как исправить.</w:t>
      </w: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 </w:t>
      </w:r>
    </w:p>
    <w:p w:rsidR="00282EE4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Чтобы сотрудники прошли обязательный медосмотр, составьте и утвердите список контингента работников, подлежащих прохождению предварительного и периодического медицинского осмотра. Утвержденный список контингента в 10-дневный срок направьте в территориальный орган Роспотребнадзора по месту нахождения организации (Приказ № 302н).</w:t>
      </w: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Затем направьте сотрудников в медицинскую организацию, с которой у вас заключен гражданско-правовой договор. По результатам осмотра на каждого работника будет оформлено медицинское заключение.</w:t>
      </w:r>
    </w:p>
    <w:p w:rsidR="00282EE4" w:rsidRPr="00D459BA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  <w:t>Нарушение 6. Не предоставляются гарантии сотрудникам, занятым на работах с вредными и опасными условиями труда</w:t>
      </w: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Сотрудникам, занятым на работах с вредными или опасными условиями труда, полагается предоставить следующие гарантии и компенсации: сокращенную продолжительность рабочего времени, ежегодный дополнительный оплачиваемый отпуск, оплату труда в повышенном размере.</w:t>
      </w:r>
    </w:p>
    <w:p w:rsidR="00282EE4" w:rsidRPr="00D459BA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 xml:space="preserve">Сокращенная продолжительность рабочего времени (не более 36 часов в неделю) устанавливается для сотрудников, которые трудятся на рабочих местах с вредными условиями труда 3-й, 4-й степени или опасными </w:t>
      </w:r>
      <w:r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условиям труда (абз. 4 ч. 1</w:t>
      </w: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 xml:space="preserve"> ст. 92 ТК РФ). Также этим работникам предоставляется дополнительный оплачиваемый отпуск минимальной продолжительностью </w:t>
      </w:r>
      <w:r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семь календарных дней (ч. 1</w:t>
      </w: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 xml:space="preserve"> ст. 117 ТК РФ). Оплата труда сотрудников, занятых на работах с вредными или опасными условиями, повышается не менее чем на четыре процента от оклада, установленного для работ с нормал</w:t>
      </w:r>
      <w:r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ьными условиями труда (ч. 1</w:t>
      </w: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 xml:space="preserve"> ст. 147 ТК РФ).</w:t>
      </w:r>
    </w:p>
    <w:p w:rsidR="00282EE4" w:rsidRPr="00D459BA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  <w:t>Как исправить.</w:t>
      </w: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Прежде всего, нужно выяснить, какие именно гарантии и компенсации полагаются сотрудникам. Для этого проведите спецоценку рабочих мест по условиям труда. Если еще действуют результаты аттестации рабочих мест, предоставьте гарантии и компенсации работникам на их основании.</w:t>
      </w:r>
    </w:p>
    <w:p w:rsidR="00282EE4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Действующее трудовое законодательство устанавливает лишь минимальный уровень гарантий и компенсаций сотрудникам, занятым на работах с вредными или опасными условиями труда. Вы можете предусмотреть более высокий уровень защиты работников.</w:t>
      </w:r>
    </w:p>
    <w:p w:rsidR="00282EE4" w:rsidRPr="00D459BA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  <w:t>Какие последствия влечет несоблюдение требований охраны труда</w:t>
      </w: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Каждое из рассмотренных нарушений может повлечь как финансовые затраты (штрафы), так и уголовное наказание. Конкретный вид ответственности определяется уполномоченным лицом или органом и зависит от тяжести правонарушения, а также наступивших последствий.</w:t>
      </w:r>
    </w:p>
    <w:p w:rsidR="00282EE4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</w:p>
    <w:p w:rsidR="00282EE4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</w:p>
    <w:p w:rsidR="00282EE4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</w:p>
    <w:p w:rsidR="00282EE4" w:rsidRDefault="00282EE4" w:rsidP="00D45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</w:p>
    <w:p w:rsidR="00282EE4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b/>
          <w:bCs/>
          <w:color w:val="1E1E1E"/>
          <w:sz w:val="26"/>
          <w:szCs w:val="26"/>
          <w:lang w:eastAsia="ru-RU"/>
        </w:rPr>
        <w:t>Совет</w:t>
      </w: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Закрепите конкретный размер повышения оплаты труда за работу во вредных или опасных условиях труда в локальном акте, принятом с учетом мнения профсоюза (ст. 147, 372 ТК РФ)</w:t>
      </w: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С 1 января 2015 года вводятся новые составы административных правонарушений. Так, к нарушениям относятся ситуации, когда работодатель не соблюдает государственные нормативные требования охраны труда; допускает сотрудника к исполнению трудовых обязанностей без предварительного обучения и проверки знаний охраны труда, а также без обязательных медосмотров; не проводит специальную оценку условий труда на рабочих местах или нарушает порядок ее проведения; не обеспечивает работников СИЗ.</w:t>
      </w:r>
    </w:p>
    <w:p w:rsidR="00282EE4" w:rsidRPr="00D459BA" w:rsidRDefault="00282EE4" w:rsidP="00146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 xml:space="preserve">Ответственность за нарушение требований охраны труда несут и работники. По результатам внутренней проверки или по предписанию ГИТ виновный может быть привлечен к дисциплинарной ответственности. Если нарушение повлекло тяжкие последствия, такие как несчастный случай на производстве, авария, катастрофа, или создало реальную угрозу того, что они наступят, сотрудника можно уволить </w:t>
      </w:r>
      <w:r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по инициативе работодателя (п.п</w:t>
      </w: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color w:val="1E1E1E"/>
          <w:sz w:val="26"/>
          <w:szCs w:val="26"/>
          <w:lang w:eastAsia="ru-RU"/>
        </w:rPr>
        <w:t>«д» п. 6 ч. 1</w:t>
      </w:r>
      <w:r w:rsidRPr="00D459BA">
        <w:rPr>
          <w:rFonts w:ascii="Times New Roman" w:hAnsi="Times New Roman" w:cs="Times New Roman"/>
          <w:color w:val="1E1E1E"/>
          <w:sz w:val="26"/>
          <w:szCs w:val="26"/>
          <w:lang w:eastAsia="ru-RU"/>
        </w:rPr>
        <w:t xml:space="preserve"> ст. 81 ТК РФ).</w:t>
      </w:r>
    </w:p>
    <w:p w:rsidR="00282EE4" w:rsidRPr="00D459BA" w:rsidRDefault="00282EE4" w:rsidP="00D459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E1E1E"/>
          <w:sz w:val="26"/>
          <w:szCs w:val="26"/>
          <w:lang w:eastAsia="ru-RU"/>
        </w:rPr>
      </w:pPr>
    </w:p>
    <w:p w:rsidR="00282EE4" w:rsidRPr="002467F1" w:rsidRDefault="00282EE4" w:rsidP="002467F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2EE4" w:rsidRPr="001613EC" w:rsidRDefault="00282EE4" w:rsidP="009C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82EE4" w:rsidRDefault="00282EE4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282EE4" w:rsidRDefault="00282EE4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282EE4" w:rsidRPr="00F967B2" w:rsidRDefault="00282EE4" w:rsidP="00F96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sectPr w:rsidR="00282EE4" w:rsidRPr="00F967B2" w:rsidSect="00F967B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6B8B5E"/>
    <w:multiLevelType w:val="hybridMultilevel"/>
    <w:tmpl w:val="8C6209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2F257A"/>
    <w:multiLevelType w:val="hybridMultilevel"/>
    <w:tmpl w:val="6C3AA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D91134"/>
    <w:multiLevelType w:val="hybridMultilevel"/>
    <w:tmpl w:val="A1A6E1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10364F"/>
    <w:multiLevelType w:val="hybridMultilevel"/>
    <w:tmpl w:val="838C3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4525E19"/>
    <w:multiLevelType w:val="hybridMultilevel"/>
    <w:tmpl w:val="5AB06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FF5960"/>
    <w:multiLevelType w:val="hybridMultilevel"/>
    <w:tmpl w:val="DC924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B2D00BE"/>
    <w:multiLevelType w:val="hybridMultilevel"/>
    <w:tmpl w:val="2D441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B87701"/>
    <w:multiLevelType w:val="hybridMultilevel"/>
    <w:tmpl w:val="83F4B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84836F1"/>
    <w:multiLevelType w:val="hybridMultilevel"/>
    <w:tmpl w:val="F9946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2D32C4"/>
    <w:multiLevelType w:val="hybridMultilevel"/>
    <w:tmpl w:val="951AB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1FC46902"/>
    <w:multiLevelType w:val="multilevel"/>
    <w:tmpl w:val="DC9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6332092"/>
    <w:multiLevelType w:val="hybridMultilevel"/>
    <w:tmpl w:val="93801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27E0065B"/>
    <w:multiLevelType w:val="hybridMultilevel"/>
    <w:tmpl w:val="F2401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91A71FF"/>
    <w:multiLevelType w:val="hybridMultilevel"/>
    <w:tmpl w:val="156AE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E505D18"/>
    <w:multiLevelType w:val="hybridMultilevel"/>
    <w:tmpl w:val="46FE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FB86394"/>
    <w:multiLevelType w:val="hybridMultilevel"/>
    <w:tmpl w:val="C5BC7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FDA064F"/>
    <w:multiLevelType w:val="hybridMultilevel"/>
    <w:tmpl w:val="4DE490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38555B55"/>
    <w:multiLevelType w:val="hybridMultilevel"/>
    <w:tmpl w:val="2D3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9C45399"/>
    <w:multiLevelType w:val="hybridMultilevel"/>
    <w:tmpl w:val="CB96E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DD95EEC"/>
    <w:multiLevelType w:val="hybridMultilevel"/>
    <w:tmpl w:val="93B87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E627CAA"/>
    <w:multiLevelType w:val="hybridMultilevel"/>
    <w:tmpl w:val="27F8C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7AB34C4"/>
    <w:multiLevelType w:val="hybridMultilevel"/>
    <w:tmpl w:val="EF38E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93824E1"/>
    <w:multiLevelType w:val="hybridMultilevel"/>
    <w:tmpl w:val="37F41B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>
    <w:nsid w:val="517236B4"/>
    <w:multiLevelType w:val="hybridMultilevel"/>
    <w:tmpl w:val="A3E2A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33970BF"/>
    <w:multiLevelType w:val="hybridMultilevel"/>
    <w:tmpl w:val="555C23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EF947CC"/>
    <w:multiLevelType w:val="hybridMultilevel"/>
    <w:tmpl w:val="3A3E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97B4B"/>
    <w:multiLevelType w:val="hybridMultilevel"/>
    <w:tmpl w:val="740EB5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>
    <w:nsid w:val="6B305BF0"/>
    <w:multiLevelType w:val="hybridMultilevel"/>
    <w:tmpl w:val="A5FC5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E772DA5"/>
    <w:multiLevelType w:val="hybridMultilevel"/>
    <w:tmpl w:val="7E40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10D4BA3"/>
    <w:multiLevelType w:val="hybridMultilevel"/>
    <w:tmpl w:val="E6421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0">
    <w:nsid w:val="75B91E22"/>
    <w:multiLevelType w:val="hybridMultilevel"/>
    <w:tmpl w:val="68089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2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3">
    <w:nsid w:val="7F1B1247"/>
    <w:multiLevelType w:val="hybridMultilevel"/>
    <w:tmpl w:val="A26E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FE54BEA"/>
    <w:multiLevelType w:val="hybridMultilevel"/>
    <w:tmpl w:val="7AB01016"/>
    <w:lvl w:ilvl="0" w:tplc="9DDEEA6A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36"/>
  </w:num>
  <w:num w:numId="5">
    <w:abstractNumId w:val="42"/>
  </w:num>
  <w:num w:numId="6">
    <w:abstractNumId w:val="41"/>
  </w:num>
  <w:num w:numId="7">
    <w:abstractNumId w:val="26"/>
  </w:num>
  <w:num w:numId="8">
    <w:abstractNumId w:val="8"/>
  </w:num>
  <w:num w:numId="9">
    <w:abstractNumId w:val="20"/>
  </w:num>
  <w:num w:numId="10">
    <w:abstractNumId w:val="33"/>
  </w:num>
  <w:num w:numId="11">
    <w:abstractNumId w:val="32"/>
  </w:num>
  <w:num w:numId="12">
    <w:abstractNumId w:val="30"/>
  </w:num>
  <w:num w:numId="13">
    <w:abstractNumId w:val="40"/>
  </w:num>
  <w:num w:numId="14">
    <w:abstractNumId w:val="10"/>
  </w:num>
  <w:num w:numId="15">
    <w:abstractNumId w:val="7"/>
  </w:num>
  <w:num w:numId="16">
    <w:abstractNumId w:val="34"/>
  </w:num>
  <w:num w:numId="17">
    <w:abstractNumId w:val="24"/>
  </w:num>
  <w:num w:numId="18">
    <w:abstractNumId w:val="38"/>
  </w:num>
  <w:num w:numId="19">
    <w:abstractNumId w:val="13"/>
  </w:num>
  <w:num w:numId="20">
    <w:abstractNumId w:val="1"/>
  </w:num>
  <w:num w:numId="21">
    <w:abstractNumId w:val="0"/>
  </w:num>
  <w:num w:numId="22">
    <w:abstractNumId w:val="2"/>
  </w:num>
  <w:num w:numId="23">
    <w:abstractNumId w:val="18"/>
  </w:num>
  <w:num w:numId="24">
    <w:abstractNumId w:val="39"/>
  </w:num>
  <w:num w:numId="25">
    <w:abstractNumId w:val="28"/>
  </w:num>
  <w:num w:numId="26">
    <w:abstractNumId w:val="35"/>
  </w:num>
  <w:num w:numId="27">
    <w:abstractNumId w:val="9"/>
  </w:num>
  <w:num w:numId="28">
    <w:abstractNumId w:val="23"/>
  </w:num>
  <w:num w:numId="29">
    <w:abstractNumId w:val="3"/>
  </w:num>
  <w:num w:numId="30">
    <w:abstractNumId w:val="37"/>
  </w:num>
  <w:num w:numId="31">
    <w:abstractNumId w:val="43"/>
  </w:num>
  <w:num w:numId="32">
    <w:abstractNumId w:val="17"/>
  </w:num>
  <w:num w:numId="33">
    <w:abstractNumId w:val="6"/>
  </w:num>
  <w:num w:numId="34">
    <w:abstractNumId w:val="15"/>
  </w:num>
  <w:num w:numId="35">
    <w:abstractNumId w:val="22"/>
  </w:num>
  <w:num w:numId="36">
    <w:abstractNumId w:val="44"/>
  </w:num>
  <w:num w:numId="37">
    <w:abstractNumId w:val="16"/>
  </w:num>
  <w:num w:numId="38">
    <w:abstractNumId w:val="19"/>
  </w:num>
  <w:num w:numId="39">
    <w:abstractNumId w:val="25"/>
  </w:num>
  <w:num w:numId="40">
    <w:abstractNumId w:val="4"/>
  </w:num>
  <w:num w:numId="41">
    <w:abstractNumId w:val="5"/>
  </w:num>
  <w:num w:numId="42">
    <w:abstractNumId w:val="12"/>
  </w:num>
  <w:num w:numId="43">
    <w:abstractNumId w:val="27"/>
  </w:num>
  <w:num w:numId="44">
    <w:abstractNumId w:val="29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17660"/>
    <w:rsid w:val="00043CD3"/>
    <w:rsid w:val="00056A61"/>
    <w:rsid w:val="00067B39"/>
    <w:rsid w:val="000F50DA"/>
    <w:rsid w:val="001400F7"/>
    <w:rsid w:val="00146CB7"/>
    <w:rsid w:val="001613EC"/>
    <w:rsid w:val="00181221"/>
    <w:rsid w:val="001C7E0D"/>
    <w:rsid w:val="0024251E"/>
    <w:rsid w:val="002467F1"/>
    <w:rsid w:val="00282EE4"/>
    <w:rsid w:val="00300662"/>
    <w:rsid w:val="00311070"/>
    <w:rsid w:val="0038113E"/>
    <w:rsid w:val="00395440"/>
    <w:rsid w:val="003C55CB"/>
    <w:rsid w:val="003F1850"/>
    <w:rsid w:val="003F4930"/>
    <w:rsid w:val="00513AEB"/>
    <w:rsid w:val="00540B33"/>
    <w:rsid w:val="00557641"/>
    <w:rsid w:val="005C0CD8"/>
    <w:rsid w:val="005D0C42"/>
    <w:rsid w:val="005D2461"/>
    <w:rsid w:val="00650590"/>
    <w:rsid w:val="006762B1"/>
    <w:rsid w:val="006A040D"/>
    <w:rsid w:val="006C152D"/>
    <w:rsid w:val="006F3AD7"/>
    <w:rsid w:val="0071020A"/>
    <w:rsid w:val="00726FE0"/>
    <w:rsid w:val="00786CD5"/>
    <w:rsid w:val="007F3909"/>
    <w:rsid w:val="00856CFE"/>
    <w:rsid w:val="00884579"/>
    <w:rsid w:val="008918F6"/>
    <w:rsid w:val="008A6702"/>
    <w:rsid w:val="008D1468"/>
    <w:rsid w:val="0094037B"/>
    <w:rsid w:val="00980F8C"/>
    <w:rsid w:val="009A2D51"/>
    <w:rsid w:val="009B5576"/>
    <w:rsid w:val="009B5C27"/>
    <w:rsid w:val="009C4E56"/>
    <w:rsid w:val="00A21EE0"/>
    <w:rsid w:val="00A61942"/>
    <w:rsid w:val="00AA3A16"/>
    <w:rsid w:val="00B84586"/>
    <w:rsid w:val="00BC7A21"/>
    <w:rsid w:val="00BE4502"/>
    <w:rsid w:val="00C43D3C"/>
    <w:rsid w:val="00C671CF"/>
    <w:rsid w:val="00CD7CCB"/>
    <w:rsid w:val="00CF6419"/>
    <w:rsid w:val="00CF785E"/>
    <w:rsid w:val="00D27DEE"/>
    <w:rsid w:val="00D459BA"/>
    <w:rsid w:val="00D6262F"/>
    <w:rsid w:val="00D83C47"/>
    <w:rsid w:val="00DE685C"/>
    <w:rsid w:val="00DF7727"/>
    <w:rsid w:val="00E567A8"/>
    <w:rsid w:val="00E66BE1"/>
    <w:rsid w:val="00E770F2"/>
    <w:rsid w:val="00ED254D"/>
    <w:rsid w:val="00ED4233"/>
    <w:rsid w:val="00F62E6B"/>
    <w:rsid w:val="00F90D5E"/>
    <w:rsid w:val="00F967B2"/>
    <w:rsid w:val="00FD4960"/>
    <w:rsid w:val="00F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1515</Words>
  <Characters>8640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cp:lastPrinted>2017-07-31T07:46:00Z</cp:lastPrinted>
  <dcterms:created xsi:type="dcterms:W3CDTF">2017-08-04T05:15:00Z</dcterms:created>
  <dcterms:modified xsi:type="dcterms:W3CDTF">2017-08-04T05:15:00Z</dcterms:modified>
</cp:coreProperties>
</file>