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A" w:rsidRDefault="00D3366A" w:rsidP="00D3366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«</w:t>
      </w:r>
      <w:r w:rsidRPr="00D3366A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Увольнение работника </w:t>
      </w:r>
      <w:proofErr w:type="spellStart"/>
      <w:r w:rsidRPr="00D3366A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предпенсионного</w:t>
      </w:r>
      <w:proofErr w:type="spellEnd"/>
      <w:r w:rsidRPr="00D3366A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» </w:t>
      </w:r>
    </w:p>
    <w:p w:rsidR="00D3366A" w:rsidRDefault="00D3366A" w:rsidP="00D3366A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>Запустив </w:t>
      </w:r>
      <w:hyperlink r:id="rId5" w:history="1">
        <w:r w:rsidRPr="00D336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пенсионную реформу</w:t>
        </w:r>
      </w:hyperlink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законодатели пообещали защитить лиц </w:t>
      </w:r>
      <w:proofErr w:type="spellStart"/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предпенсионного</w:t>
      </w:r>
      <w:proofErr w:type="spellEnd"/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возраста от массовой безработицы. Выходя на пенсию позже, они рискуют утратить конкурентоспособность на рынке труда прежде, чем начнут получать выплаты от государства. Осенью 2018 года за увольнение сотрудника </w:t>
      </w:r>
      <w:proofErr w:type="spellStart"/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предпенсионного</w:t>
      </w:r>
      <w:proofErr w:type="spellEnd"/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возраста без достаточных оснований была введена </w:t>
      </w:r>
      <w:hyperlink r:id="rId6" w:history="1">
        <w:r w:rsidRPr="00D336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уголовная ответственность</w:t>
        </w:r>
      </w:hyperlink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Однако, это не означает, что расторгнуть трудовой договор с </w:t>
      </w:r>
      <w:proofErr w:type="spellStart"/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предпенсионером</w:t>
      </w:r>
      <w:proofErr w:type="spellEnd"/>
      <w:r w:rsidRPr="00D336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невозможно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3366A" w:rsidRPr="00D3366A" w:rsidRDefault="00D3366A" w:rsidP="00D3366A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D3366A">
        <w:rPr>
          <w:rFonts w:ascii="Times New Roman" w:hAnsi="Times New Roman" w:cs="Times New Roman"/>
          <w:b w:val="0"/>
          <w:bCs w:val="0"/>
          <w:color w:val="auto"/>
        </w:rPr>
        <w:t>Предпенсионный</w:t>
      </w:r>
      <w:proofErr w:type="spellEnd"/>
      <w:r w:rsidRPr="00D3366A">
        <w:rPr>
          <w:rFonts w:ascii="Times New Roman" w:hAnsi="Times New Roman" w:cs="Times New Roman"/>
          <w:b w:val="0"/>
          <w:bCs w:val="0"/>
          <w:color w:val="auto"/>
        </w:rPr>
        <w:t xml:space="preserve"> возраст и увольнение в 2019 году</w:t>
      </w:r>
    </w:p>
    <w:p w:rsidR="00D3366A" w:rsidRDefault="00D3366A" w:rsidP="00D336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3366A">
        <w:rPr>
          <w:sz w:val="26"/>
          <w:szCs w:val="26"/>
        </w:rPr>
        <w:t xml:space="preserve">Определяя </w:t>
      </w:r>
      <w:proofErr w:type="spellStart"/>
      <w:r w:rsidRPr="00D3366A">
        <w:rPr>
          <w:sz w:val="26"/>
          <w:szCs w:val="26"/>
        </w:rPr>
        <w:t>предпенсионный</w:t>
      </w:r>
      <w:proofErr w:type="spellEnd"/>
      <w:r w:rsidRPr="00D3366A">
        <w:rPr>
          <w:sz w:val="26"/>
          <w:szCs w:val="26"/>
        </w:rPr>
        <w:t xml:space="preserve"> возраст подчиненных, работодателю нужно исходить из положений 5-й статьи Федерального закона «О занятости населения» (№ 1032-1 от 19 апреля 1991 г.). Здесь сказано, что к категории </w:t>
      </w:r>
      <w:proofErr w:type="spellStart"/>
      <w:r w:rsidRPr="00D3366A">
        <w:rPr>
          <w:sz w:val="26"/>
          <w:szCs w:val="26"/>
        </w:rPr>
        <w:t>предпенсионеров</w:t>
      </w:r>
      <w:proofErr w:type="spellEnd"/>
      <w:r w:rsidRPr="00D3366A">
        <w:rPr>
          <w:sz w:val="26"/>
          <w:szCs w:val="26"/>
        </w:rPr>
        <w:t xml:space="preserve"> относятся лица, которым осталось не более пяти лет до выхода на пенсию по старости. В связи с поэтапным </w:t>
      </w:r>
      <w:hyperlink r:id="rId7" w:history="1">
        <w:r w:rsidRPr="00D3366A">
          <w:rPr>
            <w:rStyle w:val="a3"/>
            <w:rFonts w:eastAsiaTheme="majorEastAsia"/>
            <w:color w:val="auto"/>
            <w:sz w:val="26"/>
            <w:szCs w:val="26"/>
            <w:u w:val="none"/>
          </w:rPr>
          <w:t>увеличением пенсионного возраста</w:t>
        </w:r>
      </w:hyperlink>
      <w:r w:rsidRPr="00D3366A">
        <w:rPr>
          <w:sz w:val="26"/>
          <w:szCs w:val="26"/>
        </w:rPr>
        <w:t xml:space="preserve">, в 2019 году </w:t>
      </w:r>
      <w:proofErr w:type="spellStart"/>
      <w:r w:rsidRPr="00D3366A">
        <w:rPr>
          <w:sz w:val="26"/>
          <w:szCs w:val="26"/>
        </w:rPr>
        <w:t>предпенсионерами</w:t>
      </w:r>
      <w:proofErr w:type="spellEnd"/>
      <w:r w:rsidRPr="00D3366A">
        <w:rPr>
          <w:sz w:val="26"/>
          <w:szCs w:val="26"/>
        </w:rPr>
        <w:t xml:space="preserve"> являются:</w:t>
      </w:r>
    </w:p>
    <w:p w:rsidR="00D3366A" w:rsidRPr="00D3366A" w:rsidRDefault="008A0B0A" w:rsidP="00D336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женщины –</w:t>
      </w:r>
      <w:r w:rsidR="00D3366A" w:rsidRPr="00D3366A">
        <w:rPr>
          <w:sz w:val="26"/>
          <w:szCs w:val="26"/>
        </w:rPr>
        <w:t xml:space="preserve"> от 50,5 до 55,5 лет (то есть до наступления пенсионного возраста);</w:t>
      </w:r>
    </w:p>
    <w:p w:rsidR="00D3366A" w:rsidRPr="00D3366A" w:rsidRDefault="00D3366A" w:rsidP="00D336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66A">
        <w:rPr>
          <w:sz w:val="26"/>
          <w:szCs w:val="26"/>
        </w:rPr>
        <w:t>мужчины – от 55,5 до 60,5 лет (аналогично).</w:t>
      </w:r>
    </w:p>
    <w:p w:rsidR="00D3366A" w:rsidRPr="00D3366A" w:rsidRDefault="00D3366A" w:rsidP="00D336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3366A">
        <w:rPr>
          <w:sz w:val="26"/>
          <w:szCs w:val="26"/>
        </w:rPr>
        <w:t xml:space="preserve">Поскольку пенсионный возраст ежегодно, вплоть до 2024 года, будет увеличиваться, </w:t>
      </w:r>
      <w:proofErr w:type="spellStart"/>
      <w:r w:rsidRPr="00D3366A">
        <w:rPr>
          <w:sz w:val="26"/>
          <w:szCs w:val="26"/>
        </w:rPr>
        <w:t>предпенсионный</w:t>
      </w:r>
      <w:proofErr w:type="spellEnd"/>
      <w:r w:rsidRPr="00D3366A">
        <w:rPr>
          <w:sz w:val="26"/>
          <w:szCs w:val="26"/>
        </w:rPr>
        <w:t xml:space="preserve"> период также станет смещаться.</w:t>
      </w:r>
    </w:p>
    <w:p w:rsidR="00D3366A" w:rsidRPr="00D3366A" w:rsidRDefault="00D3366A" w:rsidP="00D336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3366A">
        <w:rPr>
          <w:sz w:val="26"/>
          <w:szCs w:val="26"/>
        </w:rPr>
        <w:t xml:space="preserve">С октября прошлого года за необоснованное увольнение </w:t>
      </w:r>
      <w:proofErr w:type="spellStart"/>
      <w:r w:rsidRPr="00D3366A">
        <w:rPr>
          <w:sz w:val="26"/>
          <w:szCs w:val="26"/>
        </w:rPr>
        <w:t>предпенсионера</w:t>
      </w:r>
      <w:proofErr w:type="spellEnd"/>
      <w:r w:rsidRPr="00D3366A">
        <w:rPr>
          <w:sz w:val="26"/>
          <w:szCs w:val="26"/>
        </w:rPr>
        <w:t xml:space="preserve"> предусмотрено наказание в соответствии со ст. 144.1 Уголовного кодекса РФ (введена в действие Федеральным законом № 352-ФЗ от 03 октября 2018 г.). За подобное деяние могут последовать санкции:</w:t>
      </w:r>
    </w:p>
    <w:p w:rsidR="00D3366A" w:rsidRPr="00D3366A" w:rsidRDefault="00D3366A" w:rsidP="00D3366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66A">
        <w:rPr>
          <w:sz w:val="26"/>
          <w:szCs w:val="26"/>
        </w:rPr>
        <w:t>либо в виде обязательных работ – до 360 часов;</w:t>
      </w:r>
    </w:p>
    <w:p w:rsidR="00213A1E" w:rsidRDefault="00D3366A" w:rsidP="00213A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66A">
        <w:rPr>
          <w:sz w:val="26"/>
          <w:szCs w:val="26"/>
        </w:rPr>
        <w:t>либо в виде штрафа – до 200 000 рублей (или в размере совокупного дохода осужденного за полтора года).</w:t>
      </w:r>
    </w:p>
    <w:p w:rsidR="00213A1E" w:rsidRPr="00213A1E" w:rsidRDefault="00213A1E" w:rsidP="00213A1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D3366A" w:rsidRDefault="00D3366A" w:rsidP="00D336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3366A">
        <w:rPr>
          <w:sz w:val="26"/>
          <w:szCs w:val="26"/>
        </w:rPr>
        <w:t>Однако</w:t>
      </w:r>
      <w:proofErr w:type="gramStart"/>
      <w:r w:rsidRPr="00D3366A">
        <w:rPr>
          <w:sz w:val="26"/>
          <w:szCs w:val="26"/>
        </w:rPr>
        <w:t>,</w:t>
      </w:r>
      <w:proofErr w:type="gramEnd"/>
      <w:r w:rsidRPr="00D3366A">
        <w:rPr>
          <w:sz w:val="26"/>
          <w:szCs w:val="26"/>
        </w:rPr>
        <w:t xml:space="preserve"> закон запрещает только безосновательное увольнение </w:t>
      </w:r>
      <w:proofErr w:type="spellStart"/>
      <w:r w:rsidRPr="00D3366A">
        <w:rPr>
          <w:sz w:val="26"/>
          <w:szCs w:val="26"/>
        </w:rPr>
        <w:t>предпенсионера</w:t>
      </w:r>
      <w:proofErr w:type="spellEnd"/>
      <w:r w:rsidRPr="00D3366A">
        <w:rPr>
          <w:sz w:val="26"/>
          <w:szCs w:val="26"/>
        </w:rPr>
        <w:t>, подразумевающее, что его лишают работы именно в силу возраста. В остальных случаях его можно уволить по любому </w:t>
      </w:r>
      <w:hyperlink r:id="rId8" w:history="1">
        <w:r w:rsidRPr="00D3366A">
          <w:rPr>
            <w:rStyle w:val="a3"/>
            <w:color w:val="auto"/>
            <w:sz w:val="26"/>
            <w:szCs w:val="26"/>
            <w:u w:val="none"/>
          </w:rPr>
          <w:t>основанию</w:t>
        </w:r>
      </w:hyperlink>
      <w:r w:rsidRPr="00D3366A">
        <w:rPr>
          <w:sz w:val="26"/>
          <w:szCs w:val="26"/>
        </w:rPr>
        <w:t xml:space="preserve">, перечисленному в 77-й статье Трудового кодекса (далее – ТК), причем, без каких-либо ограничений. Поэтому ст. 144.1 УК многие юристы считают бесполезной. Редкий работодатель признается, что увольняет «возрастного» сотрудника, чтобы взять на работу более молодого подчиненного. Вполне вероятно, что найдутся другие, приемлемые с точки зрения закона, причины для увольнения лица </w:t>
      </w:r>
      <w:proofErr w:type="spellStart"/>
      <w:r w:rsidRPr="00D3366A">
        <w:rPr>
          <w:sz w:val="26"/>
          <w:szCs w:val="26"/>
        </w:rPr>
        <w:t>предпенсионного</w:t>
      </w:r>
      <w:proofErr w:type="spellEnd"/>
      <w:r w:rsidRPr="00D3366A">
        <w:rPr>
          <w:sz w:val="26"/>
          <w:szCs w:val="26"/>
        </w:rPr>
        <w:t xml:space="preserve"> возраста.</w:t>
      </w:r>
    </w:p>
    <w:p w:rsidR="00D3366A" w:rsidRPr="00D3366A" w:rsidRDefault="00D3366A" w:rsidP="00D336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3366A">
        <w:rPr>
          <w:sz w:val="26"/>
          <w:szCs w:val="26"/>
        </w:rPr>
        <w:t>Если работник уверен, что его уволили из-за возраста, он вправе обратиться с иском в суд, но свою позицию необходимо доказать фактами, что будет весьма непросто. Например, доказательством может служить вид</w:t>
      </w:r>
      <w:proofErr w:type="gramStart"/>
      <w:r w:rsidRPr="00D3366A">
        <w:rPr>
          <w:sz w:val="26"/>
          <w:szCs w:val="26"/>
        </w:rPr>
        <w:t>ео/ау</w:t>
      </w:r>
      <w:proofErr w:type="gramEnd"/>
      <w:r w:rsidRPr="00D3366A">
        <w:rPr>
          <w:sz w:val="26"/>
          <w:szCs w:val="26"/>
        </w:rPr>
        <w:t>диозапись, на которой озвучена реальная причина увольнения.</w:t>
      </w:r>
    </w:p>
    <w:p w:rsidR="00D3366A" w:rsidRPr="00D3366A" w:rsidRDefault="00D3366A" w:rsidP="00D336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F87456" w:rsidRDefault="008A0B0A" w:rsidP="00D3366A">
      <w:pPr>
        <w:jc w:val="center"/>
      </w:pPr>
    </w:p>
    <w:sectPr w:rsidR="00F87456" w:rsidSect="00B4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EB"/>
    <w:multiLevelType w:val="multilevel"/>
    <w:tmpl w:val="3D5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14820"/>
    <w:multiLevelType w:val="multilevel"/>
    <w:tmpl w:val="787A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6A"/>
    <w:rsid w:val="00182CCC"/>
    <w:rsid w:val="00213A1E"/>
    <w:rsid w:val="00621BD9"/>
    <w:rsid w:val="008A0B0A"/>
    <w:rsid w:val="00B46692"/>
    <w:rsid w:val="00D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2"/>
  </w:style>
  <w:style w:type="paragraph" w:styleId="1">
    <w:name w:val="heading 1"/>
    <w:basedOn w:val="a"/>
    <w:link w:val="10"/>
    <w:uiPriority w:val="9"/>
    <w:qFormat/>
    <w:rsid w:val="00D33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36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3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osnovaniya-prekrashcheniya-trudovogo-dogov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sroki-vyhoda-na-pensiyu-posle-povysheniya-pensionnogo-vozrasta-ta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otvetstvennost-za-uvolnenie-rabotnikov-predpensionnogo-vozrasta" TargetMode="External"/><Relationship Id="rId5" Type="http://schemas.openxmlformats.org/officeDocument/2006/relationships/hyperlink" Target="https://spmag.ru/articles/izmeneniya-v-pensionnom-zakonodatelst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4</cp:revision>
  <dcterms:created xsi:type="dcterms:W3CDTF">2019-03-09T06:09:00Z</dcterms:created>
  <dcterms:modified xsi:type="dcterms:W3CDTF">2019-03-09T06:10:00Z</dcterms:modified>
</cp:coreProperties>
</file>